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BD" w:rsidRPr="000F40F0" w:rsidRDefault="001958BD" w:rsidP="00195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0F0">
        <w:rPr>
          <w:rFonts w:ascii="Times New Roman" w:hAnsi="Times New Roman" w:cs="Times New Roman"/>
          <w:b/>
        </w:rPr>
        <w:t>РОССИЙСКАЯ ФЕДЕРАЦИЯ</w:t>
      </w:r>
    </w:p>
    <w:p w:rsidR="001958BD" w:rsidRPr="000F40F0" w:rsidRDefault="001958BD" w:rsidP="00195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0F0">
        <w:rPr>
          <w:rFonts w:ascii="Times New Roman" w:hAnsi="Times New Roman" w:cs="Times New Roman"/>
          <w:b/>
        </w:rPr>
        <w:t>КУРГАНСКАЯ   ОБЛАСТЬ</w:t>
      </w:r>
    </w:p>
    <w:p w:rsidR="001958BD" w:rsidRPr="000F40F0" w:rsidRDefault="001958BD" w:rsidP="00195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0F0">
        <w:rPr>
          <w:rFonts w:ascii="Times New Roman" w:hAnsi="Times New Roman" w:cs="Times New Roman"/>
          <w:b/>
        </w:rPr>
        <w:t>ПРИТОБОЛЬНЫЙ РАЙОН</w:t>
      </w:r>
    </w:p>
    <w:p w:rsidR="001958BD" w:rsidRPr="000F40F0" w:rsidRDefault="001958BD" w:rsidP="001958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40F0">
        <w:rPr>
          <w:rFonts w:ascii="Times New Roman" w:hAnsi="Times New Roman" w:cs="Times New Roman"/>
          <w:b/>
        </w:rPr>
        <w:t>АДМИНИСТРАЦИЯ ПРИТОБОЛЬНОГО РАЙОНА</w:t>
      </w:r>
    </w:p>
    <w:p w:rsidR="001958BD" w:rsidRPr="000F40F0" w:rsidRDefault="001958BD" w:rsidP="001958BD">
      <w:pPr>
        <w:spacing w:after="0" w:line="240" w:lineRule="auto"/>
        <w:rPr>
          <w:rFonts w:ascii="Times New Roman" w:hAnsi="Times New Roman" w:cs="Times New Roman"/>
        </w:rPr>
      </w:pPr>
    </w:p>
    <w:p w:rsidR="001958BD" w:rsidRDefault="001958BD" w:rsidP="001958BD">
      <w:pPr>
        <w:spacing w:after="0" w:line="240" w:lineRule="auto"/>
        <w:rPr>
          <w:rFonts w:ascii="Times New Roman" w:hAnsi="Times New Roman" w:cs="Times New Roman"/>
        </w:rPr>
      </w:pPr>
    </w:p>
    <w:p w:rsidR="001958BD" w:rsidRPr="000F40F0" w:rsidRDefault="001958BD" w:rsidP="001958BD">
      <w:pPr>
        <w:spacing w:after="0" w:line="240" w:lineRule="auto"/>
        <w:rPr>
          <w:rFonts w:ascii="Times New Roman" w:hAnsi="Times New Roman" w:cs="Times New Roman"/>
        </w:rPr>
      </w:pPr>
    </w:p>
    <w:p w:rsidR="001958BD" w:rsidRPr="000F40F0" w:rsidRDefault="001958BD" w:rsidP="00195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0F0">
        <w:rPr>
          <w:rFonts w:ascii="Times New Roman" w:hAnsi="Times New Roman" w:cs="Times New Roman"/>
          <w:b/>
        </w:rPr>
        <w:t>ПОСТАНОВЛЕНИЕ</w:t>
      </w:r>
      <w:r>
        <w:rPr>
          <w:rFonts w:ascii="Times New Roman" w:hAnsi="Times New Roman" w:cs="Times New Roman"/>
          <w:b/>
        </w:rPr>
        <w:t xml:space="preserve"> </w:t>
      </w:r>
    </w:p>
    <w:p w:rsidR="001958BD" w:rsidRPr="000F40F0" w:rsidRDefault="001958BD" w:rsidP="001958BD">
      <w:pPr>
        <w:spacing w:after="0" w:line="240" w:lineRule="auto"/>
        <w:rPr>
          <w:rFonts w:ascii="Times New Roman" w:hAnsi="Times New Roman" w:cs="Times New Roman"/>
          <w:b/>
        </w:rPr>
      </w:pPr>
    </w:p>
    <w:p w:rsidR="001958BD" w:rsidRDefault="001958BD" w:rsidP="001958BD">
      <w:pPr>
        <w:spacing w:after="0" w:line="240" w:lineRule="auto"/>
      </w:pPr>
    </w:p>
    <w:p w:rsidR="001958BD" w:rsidRPr="009A73A4" w:rsidRDefault="001958BD" w:rsidP="0019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8 июля 2020 </w:t>
      </w:r>
      <w:r w:rsidRPr="009A73A4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249</w:t>
      </w:r>
    </w:p>
    <w:p w:rsidR="001958BD" w:rsidRDefault="001958BD" w:rsidP="0019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3A4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1958BD" w:rsidRDefault="001958BD" w:rsidP="0019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1958BD" w:rsidTr="00C8543C">
        <w:tc>
          <w:tcPr>
            <w:tcW w:w="4503" w:type="dxa"/>
          </w:tcPr>
          <w:p w:rsidR="001958BD" w:rsidRPr="000A5FB8" w:rsidRDefault="001958BD" w:rsidP="00C854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B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Администрацией Притобольного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      </w:r>
          </w:p>
          <w:p w:rsidR="001958BD" w:rsidRDefault="001958BD" w:rsidP="00C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8BD" w:rsidRDefault="001958BD" w:rsidP="001958BD">
      <w:pPr>
        <w:spacing w:after="0" w:line="240" w:lineRule="auto"/>
      </w:pPr>
    </w:p>
    <w:p w:rsidR="001958BD" w:rsidRDefault="001958BD" w:rsidP="001958BD">
      <w:pPr>
        <w:spacing w:after="0" w:line="240" w:lineRule="auto"/>
      </w:pPr>
    </w:p>
    <w:p w:rsidR="001958BD" w:rsidRPr="009849FA" w:rsidRDefault="001958BD" w:rsidP="0019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5" w:history="1">
        <w:r w:rsidRPr="00007D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</w:hyperlink>
      <w:r w:rsidRPr="009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6" w:history="1">
        <w:r w:rsidRPr="009849F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№</w:t>
        </w:r>
      </w:hyperlink>
      <w:r w:rsidRPr="009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услуг», Законом Курганской области от 5 июня 2019 года № 89 «О регулировании отдельных вопросов в сфере земельных отношений», </w:t>
      </w:r>
      <w:hyperlink r:id="rId7" w:history="1">
        <w:r w:rsidRPr="009849F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9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Притобольного района Администрация Притобольного района</w:t>
      </w:r>
      <w:proofErr w:type="gramEnd"/>
    </w:p>
    <w:p w:rsidR="001958BD" w:rsidRPr="009849FA" w:rsidRDefault="001958BD" w:rsidP="0019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1958BD" w:rsidRPr="009849FA" w:rsidRDefault="001958BD" w:rsidP="0019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</w:t>
      </w:r>
      <w:r w:rsidRPr="0098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Администрацией Притобольного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</w: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  <w:proofErr w:type="gramEnd"/>
    </w:p>
    <w:p w:rsidR="001958BD" w:rsidRPr="009849FA" w:rsidRDefault="001958BD" w:rsidP="0019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по управлению муниципальным имуществом Администрации Притобольного района обеспечить исполнение указанного в пункте 1 настоящего постановления Административного регламента.</w:t>
      </w:r>
    </w:p>
    <w:p w:rsidR="001958BD" w:rsidRPr="009849FA" w:rsidRDefault="001958BD" w:rsidP="0019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Притобольного района от 30.09.2019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49F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Притобольного района муниципальной услуги по предоставлению земельных участков, </w:t>
      </w:r>
      <w:r w:rsidRPr="009849FA">
        <w:rPr>
          <w:rFonts w:ascii="Times New Roman" w:hAnsi="Times New Roman" w:cs="Times New Roman"/>
          <w:sz w:val="24"/>
          <w:szCs w:val="24"/>
        </w:rPr>
        <w:lastRenderedPageBreak/>
        <w:t>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</w: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362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силу.</w:t>
      </w:r>
      <w:proofErr w:type="gramEnd"/>
    </w:p>
    <w:p w:rsidR="001958BD" w:rsidRPr="009849FA" w:rsidRDefault="001958BD" w:rsidP="0019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9FA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в информационном бюллетене «Муниципальный вестник </w:t>
      </w:r>
      <w:proofErr w:type="spellStart"/>
      <w:r w:rsidRPr="009849FA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9849FA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Администрации Притобольного района в сети «Интернет».</w:t>
      </w:r>
    </w:p>
    <w:p w:rsidR="001958BD" w:rsidRPr="009849FA" w:rsidRDefault="001958BD" w:rsidP="00195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Притобольного района.</w:t>
      </w:r>
    </w:p>
    <w:p w:rsidR="001958BD" w:rsidRPr="009849FA" w:rsidRDefault="001958BD" w:rsidP="00195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Pr="009E0DDB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ab/>
      </w:r>
    </w:p>
    <w:p w:rsidR="001958BD" w:rsidRPr="009E0DDB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Pr="009E0DDB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DB">
        <w:rPr>
          <w:rFonts w:ascii="Times New Roman" w:hAnsi="Times New Roman" w:cs="Times New Roman"/>
          <w:sz w:val="24"/>
          <w:szCs w:val="24"/>
        </w:rPr>
        <w:t xml:space="preserve">Глава Притобольного района                                                          </w:t>
      </w:r>
      <w:r w:rsidRPr="009E0DDB">
        <w:rPr>
          <w:rFonts w:ascii="Times New Roman" w:hAnsi="Times New Roman" w:cs="Times New Roman"/>
          <w:sz w:val="24"/>
          <w:szCs w:val="24"/>
        </w:rPr>
        <w:tab/>
      </w:r>
      <w:r w:rsidRPr="009E0DDB">
        <w:rPr>
          <w:rFonts w:ascii="Times New Roman" w:hAnsi="Times New Roman" w:cs="Times New Roman"/>
          <w:sz w:val="24"/>
          <w:szCs w:val="24"/>
        </w:rPr>
        <w:tab/>
        <w:t xml:space="preserve">Д.Ю. Лесовой </w:t>
      </w: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Pr="009E0DDB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BD" w:rsidRPr="009E0DDB" w:rsidRDefault="001958BD" w:rsidP="00195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E0DDB">
        <w:rPr>
          <w:rFonts w:ascii="Times New Roman" w:hAnsi="Times New Roman" w:cs="Times New Roman"/>
          <w:sz w:val="20"/>
          <w:szCs w:val="20"/>
        </w:rPr>
        <w:t>Милютин</w:t>
      </w:r>
      <w:proofErr w:type="spellEnd"/>
      <w:r w:rsidRPr="009E0DDB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1C7854" w:rsidRDefault="001958BD" w:rsidP="00195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DDB">
        <w:rPr>
          <w:rFonts w:ascii="Times New Roman" w:hAnsi="Times New Roman" w:cs="Times New Roman"/>
          <w:sz w:val="20"/>
          <w:szCs w:val="20"/>
        </w:rPr>
        <w:t>8-3522-42-89-88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A2798C" w:rsidRPr="00A2798C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C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="00093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C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249</w:t>
      </w:r>
    </w:p>
    <w:p w:rsidR="00A2798C" w:rsidRPr="00A2798C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A2798C" w:rsidRPr="00A2798C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093F9A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F9A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093F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деятельности»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хозяйством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лишившиеся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соотечественников,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переселяющихся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соотечественников,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рубежом»;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пункта»;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заявителя: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8C">
        <w:rPr>
          <w:rFonts w:ascii="Times New Roman" w:hAnsi="Times New Roman" w:cs="Times New Roman"/>
          <w:sz w:val="24"/>
          <w:szCs w:val="24"/>
        </w:rPr>
        <w:t>www.http</w:t>
      </w:r>
      <w:proofErr w:type="spellEnd"/>
      <w:r w:rsidRPr="00A2798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2798C">
        <w:rPr>
          <w:rFonts w:ascii="Times New Roman" w:hAnsi="Times New Roman" w:cs="Times New Roman"/>
          <w:sz w:val="24"/>
          <w:szCs w:val="24"/>
        </w:rPr>
        <w:t>admpritobol.ru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98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«Интернет»,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официальный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Администрации).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предназначенном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телефонной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почты;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«Единый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(функций)»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8C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ЕПГУ);</w:t>
      </w:r>
    </w:p>
    <w:p w:rsidR="00A2798C" w:rsidRPr="00A2798C" w:rsidRDefault="00A2798C" w:rsidP="00A27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отделе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Курганской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«Многофункциональный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услуги»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«МФЦ»)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Курганская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Притобольный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район,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село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Глядянское,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Ленина,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телефон: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8-35239-9-37-00.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Официальный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«МФЦ»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«Интернет»: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A2798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</w:hyperlink>
      <w:hyperlink r:id="rId9" w:history="1">
        <w:r w:rsidRPr="00A2798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</w:hyperlink>
      <w:hyperlink r:id="rId10" w:history="1">
        <w:r w:rsidRPr="00A2798C">
          <w:rPr>
            <w:rFonts w:ascii="Times New Roman" w:hAnsi="Times New Roman" w:cs="Times New Roman"/>
            <w:color w:val="000000"/>
            <w:sz w:val="24"/>
            <w:szCs w:val="24"/>
          </w:rPr>
          <w:t>mfc</w:t>
        </w:r>
      </w:hyperlink>
      <w:hyperlink r:id="rId11" w:history="1">
        <w:r w:rsidRPr="00A2798C">
          <w:rPr>
            <w:rFonts w:ascii="Times New Roman" w:hAnsi="Times New Roman" w:cs="Times New Roman"/>
            <w:color w:val="000000"/>
            <w:sz w:val="24"/>
            <w:szCs w:val="24"/>
          </w:rPr>
          <w:t>45.</w:t>
        </w:r>
      </w:hyperlink>
      <w:hyperlink r:id="rId12" w:history="1">
        <w:proofErr w:type="spellStart"/>
        <w:r w:rsidRPr="00A2798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A27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color w:val="000000"/>
          <w:sz w:val="24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«МФЦ»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взаимодействии,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заключенного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«МФЦ»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Администрацией,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информированию,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color w:val="000000"/>
          <w:sz w:val="24"/>
          <w:szCs w:val="24"/>
        </w:rPr>
        <w:t>Регламентом</w:t>
      </w:r>
      <w:r w:rsidRPr="00A2798C">
        <w:rPr>
          <w:rFonts w:ascii="Times New Roman" w:hAnsi="Times New Roman" w:cs="Times New Roman"/>
          <w:sz w:val="24"/>
          <w:szCs w:val="24"/>
        </w:rPr>
        <w:t>;</w:t>
      </w:r>
    </w:p>
    <w:p w:rsidR="00A2798C" w:rsidRPr="00A2798C" w:rsidRDefault="00A2798C" w:rsidP="00A27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8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98C">
        <w:rPr>
          <w:rFonts w:ascii="Times New Roman" w:hAnsi="Times New Roman" w:cs="Times New Roman"/>
          <w:sz w:val="24"/>
          <w:szCs w:val="24"/>
        </w:rPr>
        <w:t>информации.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(режим)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(структурного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переадресовывается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(переводится)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обратившемуся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минутами.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минутами.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телефона-автоинформатора</w:t>
      </w:r>
      <w:proofErr w:type="spell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Администрация.</w:t>
      </w:r>
    </w:p>
    <w:p w:rsidR="00093F9A" w:rsidRDefault="00A2798C" w:rsidP="00A2798C">
      <w:pPr>
        <w:spacing w:after="0" w:line="240" w:lineRule="auto"/>
        <w:ind w:firstLine="709"/>
        <w:jc w:val="both"/>
        <w:rPr>
          <w:color w:val="000000"/>
          <w:szCs w:val="24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F9A" w:rsidRPr="00093F9A">
        <w:rPr>
          <w:rFonts w:ascii="Times New Roman" w:hAnsi="Times New Roman" w:cs="Times New Roman"/>
          <w:color w:val="000000"/>
          <w:sz w:val="24"/>
          <w:szCs w:val="24"/>
        </w:rPr>
        <w:t>Притобольной районной Думы от 27 февраля 2013 года № 227 «Об утверждении перечня муниципальных услуг, предоставляемых Администрацией Притобольного района»</w:t>
      </w:r>
      <w:r w:rsidR="00093F9A">
        <w:rPr>
          <w:color w:val="000000"/>
          <w:szCs w:val="24"/>
        </w:rPr>
        <w:t>.</w:t>
      </w:r>
    </w:p>
    <w:p w:rsidR="00093F9A" w:rsidRDefault="00093F9A" w:rsidP="00A2798C">
      <w:pPr>
        <w:spacing w:after="0" w:line="240" w:lineRule="auto"/>
        <w:ind w:firstLine="709"/>
        <w:jc w:val="both"/>
        <w:rPr>
          <w:color w:val="000000"/>
          <w:szCs w:val="24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учетом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приостановления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предусмотрена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(направления)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093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1A6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1A6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39.6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участок;</w:t>
      </w:r>
    </w:p>
    <w:p w:rsidR="00A2798C" w:rsidRPr="00A2798C" w:rsidRDefault="00A2798C" w:rsidP="001A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CE181E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счет-фактуры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т.п.).</w:t>
      </w:r>
    </w:p>
    <w:p w:rsid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02B" w:rsidRPr="00C2202B">
        <w:rPr>
          <w:rFonts w:ascii="Times New Roman" w:hAnsi="Times New Roman" w:cs="Times New Roman"/>
          <w:sz w:val="24"/>
          <w:szCs w:val="24"/>
        </w:rPr>
        <w:t>статей 21.1 и 21.2</w:t>
      </w:r>
      <w:r w:rsidR="00C2202B"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услуг».</w:t>
      </w:r>
    </w:p>
    <w:p w:rsidR="00C2202B" w:rsidRPr="00A2798C" w:rsidRDefault="00C2202B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2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</w:p>
    <w:p w:rsidR="00A2798C" w:rsidRPr="00A2798C" w:rsidRDefault="00A2798C" w:rsidP="00C2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представить,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заявителями,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представления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предпринимателей»;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фитосанитарному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(земельные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СМЭВ),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СМЭВ.</w:t>
      </w:r>
    </w:p>
    <w:p w:rsidR="00A2798C" w:rsidRPr="00A2798C" w:rsidRDefault="00A2798C" w:rsidP="00C2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2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</w:p>
    <w:p w:rsidR="00A2798C" w:rsidRPr="00A2798C" w:rsidRDefault="00A2798C" w:rsidP="00C22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C576A7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C576A7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39.15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39.17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C576A7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пункта»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недвижимости»,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пункта»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зарезервированным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C576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19 статьи 39.11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576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 6 пункта 4 статьи 39.11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C576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 4 пункта 4 статьи 39.11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C576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8 статьи 39.11</w:t>
        </w:r>
      </w:hyperlink>
      <w:r w:rsidRPr="00C5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39.18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218-ФЗ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взимаемой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взимания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взимается.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участвующей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</w:t>
      </w:r>
    </w:p>
    <w:p w:rsidR="00C576A7" w:rsidRPr="00A2798C" w:rsidRDefault="00C576A7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образцами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(вывеской),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Притобольного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«Гигиенические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2.2.2/2.4.1340-03».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стендами;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(режим)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банкетками</w:t>
      </w:r>
      <w:proofErr w:type="spell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(стойками)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пандусами,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перилами,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колясок,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колясок.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рельефно-точечным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собаки-проводника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соглашения)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соглашения)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учитывающие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</w:t>
      </w:r>
    </w:p>
    <w:p w:rsidR="00A2798C" w:rsidRPr="00A2798C" w:rsidRDefault="00A2798C" w:rsidP="00C57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звездочкой.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(действий),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форме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засвидетельствована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засвидетельствована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некорректно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Pr="00A27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r>
        <w:rPr>
          <w:rFonts w:ascii="Times New Roman" w:eastAsia="Times New Roman" w:hAnsi="Times New Roman" w:cs="Times New Roman"/>
          <w:color w:val="ED1C24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</w:p>
    <w:p w:rsidR="000344C2" w:rsidRPr="00A2798C" w:rsidRDefault="000344C2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="000344C2" w:rsidRP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содержащемуся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засвидетельствована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ED1C24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засвидетельствована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некорректно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аутентификации),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(запроса).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Pr="00A27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344C2" w:rsidRP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(организации).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(документов).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(документы),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оснований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97.Специалист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 w:rsidR="000344C2" w:rsidRP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344C2" w:rsidRP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содержащемуся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034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540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</w:t>
      </w:r>
    </w:p>
    <w:p w:rsidR="00A2798C" w:rsidRPr="00A2798C" w:rsidRDefault="00A2798C" w:rsidP="00A540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540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Главы Притобольного 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визирования,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периодичностью.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Притобольного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полнотой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(комплексные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проверки).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годовых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Главы Притобольного района</w:t>
      </w:r>
      <w:r w:rsidRPr="00A27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роспись.</w:t>
      </w:r>
    </w:p>
    <w:p w:rsidR="00A2798C" w:rsidRPr="00A2798C" w:rsidRDefault="00A2798C" w:rsidP="004E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(бездействие),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принимаемые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инструкциях.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</w:t>
      </w: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всесторонность;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(внесудебный)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служащих</w:t>
      </w: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(внесудебное)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(решения)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4E7093" w:rsidRPr="00A2798C" w:rsidRDefault="004E7093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исправлений;</w:t>
      </w:r>
      <w:proofErr w:type="gramEnd"/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4E70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«МФЦ»;</w:t>
      </w:r>
    </w:p>
    <w:p w:rsid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«МФЦ».</w:t>
      </w:r>
    </w:p>
    <w:p w:rsidR="004E7093" w:rsidRPr="00A2798C" w:rsidRDefault="004E7093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11F"/>
      <w:bookmarkEnd w:id="0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123"/>
      <w:bookmarkEnd w:id="1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01241"/>
      <w:bookmarkEnd w:id="2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обжалуются;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012C"/>
      <w:bookmarkEnd w:id="3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redstr13"/>
      <w:bookmarkEnd w:id="4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_DdeLink__3693_3139364804"/>
      <w:bookmarkEnd w:id="5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</w:p>
    <w:p w:rsidR="004E7093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013A"/>
      <w:bookmarkStart w:id="7" w:name="P013B"/>
      <w:bookmarkStart w:id="8" w:name="redstr17"/>
      <w:bookmarkEnd w:id="6"/>
      <w:bookmarkEnd w:id="7"/>
      <w:bookmarkEnd w:id="8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  <w:r w:rsidR="004E7093" w:rsidRPr="004E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4E7093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013C"/>
      <w:bookmarkEnd w:id="9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redstr19"/>
      <w:bookmarkEnd w:id="10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013E"/>
      <w:bookmarkEnd w:id="11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</w:p>
    <w:p w:rsidR="004E7093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redstr20"/>
      <w:bookmarkStart w:id="13" w:name="P013F"/>
      <w:bookmarkStart w:id="14" w:name="redstr21"/>
      <w:bookmarkStart w:id="15" w:name="P0140"/>
      <w:bookmarkStart w:id="16" w:name="redstr22"/>
      <w:bookmarkStart w:id="17" w:name="P0141"/>
      <w:bookmarkStart w:id="18" w:name="redstr23"/>
      <w:bookmarkStart w:id="19" w:name="P0142"/>
      <w:bookmarkStart w:id="20" w:name="redstr2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4E7093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E7093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4E7093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основаниям;</w:t>
      </w:r>
    </w:p>
    <w:p w:rsidR="00A2798C" w:rsidRPr="00A2798C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A2798C" w:rsidRPr="00A2798C" w:rsidRDefault="00A2798C" w:rsidP="004E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redstr25"/>
      <w:bookmarkEnd w:id="21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жалобы.</w:t>
      </w:r>
    </w:p>
    <w:p w:rsidR="00A2798C" w:rsidRPr="00A2798C" w:rsidRDefault="00A2798C" w:rsidP="004E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жалобе</w:t>
      </w: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93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0130"/>
      <w:bookmarkStart w:id="23" w:name="P0131"/>
      <w:bookmarkStart w:id="24" w:name="redstr"/>
      <w:bookmarkEnd w:id="22"/>
      <w:bookmarkEnd w:id="23"/>
      <w:bookmarkEnd w:id="24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redstr15"/>
      <w:bookmarkEnd w:id="25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redstr16"/>
      <w:bookmarkEnd w:id="26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4E7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жалобы,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ЕПГУ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0744" w:rsidRPr="00A2798C">
        <w:rPr>
          <w:rFonts w:ascii="Times New Roman" w:hAnsi="Times New Roman" w:cs="Times New Roman"/>
          <w:sz w:val="24"/>
          <w:szCs w:val="24"/>
        </w:rPr>
        <w:t>www.http</w:t>
      </w:r>
      <w:proofErr w:type="spellEnd"/>
      <w:r w:rsidR="00390744" w:rsidRPr="00A2798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90744" w:rsidRPr="00A2798C">
        <w:rPr>
          <w:rFonts w:ascii="Times New Roman" w:hAnsi="Times New Roman" w:cs="Times New Roman"/>
          <w:sz w:val="24"/>
          <w:szCs w:val="24"/>
        </w:rPr>
        <w:t>admpritobol.ru</w:t>
      </w:r>
      <w:proofErr w:type="spell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выполняемых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</w:t>
      </w: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3907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участка;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«МФЦ»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расшифровкой.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утверждаемой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предоставляющим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BB4FF6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Притобольного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2798C"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 w:rsid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FF6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ЗАЯВЛЕНИЕ</w:t>
      </w: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050D"/>
      <w:bookmarkEnd w:id="27"/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050E"/>
      <w:bookmarkEnd w:id="28"/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050F"/>
      <w:bookmarkEnd w:id="2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Я,_______________________________________________________________________________________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0511"/>
      <w:bookmarkEnd w:id="3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имеющи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0512"/>
      <w:bookmarkEnd w:id="3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личность)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0514"/>
      <w:bookmarkEnd w:id="32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(когда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(кем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0516"/>
      <w:bookmarkEnd w:id="33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проживающи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(полностью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жительства)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0518"/>
      <w:bookmarkEnd w:id="34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0526"/>
      <w:bookmarkEnd w:id="35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прошу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торгов: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0527"/>
      <w:bookmarkEnd w:id="36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кадастровый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0528"/>
      <w:bookmarkEnd w:id="37"/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0529"/>
      <w:bookmarkEnd w:id="38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уточнению):__________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P052A"/>
      <w:bookmarkEnd w:id="3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кадастровы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номер(а)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P052B"/>
      <w:bookmarkEnd w:id="4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которог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ых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предусмотрено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P052C"/>
      <w:bookmarkEnd w:id="4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участка):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P052D"/>
      <w:bookmarkEnd w:id="42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цель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использования: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утверждении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P0531"/>
      <w:bookmarkEnd w:id="43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территории:_____________________________________________________________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P0532"/>
      <w:bookmarkEnd w:id="44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утверждении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P0533"/>
      <w:bookmarkEnd w:id="45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территориального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P0534"/>
      <w:bookmarkEnd w:id="46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P0535"/>
      <w:bookmarkEnd w:id="47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планировки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территории: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торгов: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подпункт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39.6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Федерации________________________________________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,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(или)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P05C31"/>
      <w:bookmarkStart w:id="49" w:name="P0536"/>
      <w:bookmarkEnd w:id="48"/>
      <w:bookmarkEnd w:id="4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почты: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,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br/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Приложение: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P054A"/>
      <w:bookmarkStart w:id="51" w:name="P054B"/>
      <w:bookmarkStart w:id="52" w:name="P054C"/>
      <w:bookmarkStart w:id="53" w:name="P054D"/>
      <w:bookmarkEnd w:id="50"/>
      <w:bookmarkEnd w:id="51"/>
      <w:bookmarkEnd w:id="52"/>
      <w:bookmarkEnd w:id="53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(копии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документов),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P054F"/>
      <w:bookmarkEnd w:id="54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P0550"/>
      <w:bookmarkEnd w:id="55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Вход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P0551"/>
      <w:bookmarkEnd w:id="56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P0552"/>
      <w:bookmarkEnd w:id="57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инициалы)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B22C1" w:rsidRP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AB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:rsidR="00A2798C" w:rsidRPr="00A2798C" w:rsidRDefault="00A2798C" w:rsidP="00BB4F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ЗАЯВЛЕНИЕ</w:t>
      </w: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P05A5"/>
      <w:bookmarkEnd w:id="58"/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BB4F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P05A6"/>
      <w:bookmarkEnd w:id="59"/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P05A7"/>
      <w:bookmarkEnd w:id="6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P05A8"/>
      <w:bookmarkEnd w:id="61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P05A9"/>
      <w:bookmarkEnd w:id="62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имеющи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P05AA"/>
      <w:bookmarkEnd w:id="63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P05AB"/>
      <w:bookmarkEnd w:id="64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личность)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P05AC"/>
      <w:bookmarkEnd w:id="65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P05AD"/>
      <w:bookmarkEnd w:id="66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(когда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(кем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P05AE"/>
      <w:bookmarkEnd w:id="67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проживающи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P05AF"/>
      <w:bookmarkEnd w:id="68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(полностью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жительства)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P05B0"/>
      <w:bookmarkEnd w:id="6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участок: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P05BF"/>
      <w:bookmarkEnd w:id="7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кадастровый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участка:______________________________________________________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торгов: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подпункт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39.6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Федерации_______________________________________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,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P05C2"/>
      <w:bookmarkEnd w:id="7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использования: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предварительном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согласовании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участка,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испрашиваемый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образовывался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уточнялись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решения:_________________________________________________________________________,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(или)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P05C3"/>
      <w:bookmarkStart w:id="73" w:name="P05C9"/>
      <w:bookmarkStart w:id="74" w:name="P05CA"/>
      <w:bookmarkEnd w:id="72"/>
      <w:bookmarkEnd w:id="73"/>
      <w:bookmarkEnd w:id="74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почты:__________________________________________________________________.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Приложение: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P05DD"/>
      <w:bookmarkStart w:id="76" w:name="P05DE"/>
      <w:bookmarkStart w:id="77" w:name="P05DF"/>
      <w:bookmarkStart w:id="78" w:name="P05E0"/>
      <w:bookmarkEnd w:id="75"/>
      <w:bookmarkEnd w:id="76"/>
      <w:bookmarkEnd w:id="77"/>
      <w:bookmarkEnd w:id="78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(копии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документов),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P05E2"/>
      <w:bookmarkEnd w:id="7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P05E3"/>
      <w:bookmarkEnd w:id="8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Вход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P05E4"/>
      <w:bookmarkEnd w:id="8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P05E5"/>
      <w:bookmarkEnd w:id="82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инициалы)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B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2798C" w:rsidRPr="00A2798C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Притобольного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2C1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(фермерским)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98C" w:rsidRPr="00A2798C" w:rsidRDefault="00A2798C" w:rsidP="00AB22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B2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ЗАЯВЛЕНИЕ</w:t>
      </w:r>
    </w:p>
    <w:p w:rsidR="00AB22C1" w:rsidRDefault="00A2798C" w:rsidP="00AB2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bookmarkStart w:id="83" w:name="P05A51"/>
      <w:bookmarkStart w:id="84" w:name="P05A71"/>
      <w:bookmarkEnd w:id="83"/>
      <w:bookmarkEnd w:id="84"/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аренде,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безвозмездном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пользовании,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бесплатно</w:t>
      </w:r>
    </w:p>
    <w:p w:rsidR="00A2798C" w:rsidRPr="00A2798C" w:rsidRDefault="00A2798C" w:rsidP="00AB22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P05A81"/>
      <w:bookmarkEnd w:id="85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P05A91"/>
      <w:bookmarkEnd w:id="86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имеющи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P05AA1"/>
      <w:bookmarkEnd w:id="87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P05AB1"/>
      <w:bookmarkEnd w:id="88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(реквизиты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личность)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P05AC1"/>
      <w:bookmarkEnd w:id="8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P05AD1"/>
      <w:bookmarkEnd w:id="90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(когда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(кем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выдан)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P05AE1"/>
      <w:bookmarkEnd w:id="9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проживающи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й(</w:t>
      </w:r>
      <w:proofErr w:type="spellStart"/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ая</w:t>
      </w:r>
      <w:proofErr w:type="spell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P05AF1"/>
      <w:bookmarkEnd w:id="92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(полностью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жительства)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P05B01"/>
      <w:bookmarkEnd w:id="93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Курганской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подпункт,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отношений»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кадастровым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номером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расположенный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_________________________________________________________________,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находящийся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праве:______________________________________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права: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аренда,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использования)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End"/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пользование)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P05CA1"/>
      <w:bookmarkEnd w:id="94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P05DD1"/>
      <w:bookmarkStart w:id="96" w:name="P05DE1"/>
      <w:bookmarkStart w:id="97" w:name="P05DF1"/>
      <w:bookmarkStart w:id="98" w:name="P05E01"/>
      <w:bookmarkEnd w:id="95"/>
      <w:bookmarkEnd w:id="96"/>
      <w:bookmarkEnd w:id="97"/>
      <w:bookmarkEnd w:id="98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(копии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документов),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заявлению,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действительны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достоверные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P05E21"/>
      <w:bookmarkEnd w:id="99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P05E31"/>
      <w:bookmarkEnd w:id="100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Вход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proofErr w:type="gramStart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</w:t>
      </w:r>
      <w:proofErr w:type="gramEnd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P05E41"/>
      <w:bookmarkEnd w:id="101"/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</w:t>
      </w:r>
    </w:p>
    <w:p w:rsidR="00A2798C" w:rsidRPr="00A2798C" w:rsidRDefault="00A2798C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2798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инициалы)</w:t>
      </w:r>
    </w:p>
    <w:bookmarkStart w:id="102" w:name="sdfootnote1sym"/>
    <w:p w:rsidR="00A2798C" w:rsidRPr="00A2798C" w:rsidRDefault="00CB593B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"sdfootnote1anc" </w:instrTex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2798C" w:rsidRPr="00A279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2"/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устанавливающего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bookmarkStart w:id="103" w:name="sdfootnote2sym"/>
    <w:p w:rsidR="00A2798C" w:rsidRPr="00A2798C" w:rsidRDefault="00CB593B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"sdfootnote2anc" </w:instrTex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2798C" w:rsidRPr="00A279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2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3"/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устанавливающего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104" w:name="sdfootnote3sym"/>
    <w:p w:rsidR="00A2798C" w:rsidRPr="00A2798C" w:rsidRDefault="00CB593B" w:rsidP="00A2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"sdfootnote3anc" </w:instrTex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2798C" w:rsidRPr="00A279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3</w:t>
      </w:r>
      <w:r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4"/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8C" w:rsidRP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  <w:r w:rsidR="00A2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375" w:rsidRPr="00A2798C" w:rsidRDefault="00594375" w:rsidP="00A2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4375" w:rsidRPr="00A2798C" w:rsidSect="0059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F8F"/>
    <w:multiLevelType w:val="multilevel"/>
    <w:tmpl w:val="2C8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7759A"/>
    <w:multiLevelType w:val="multilevel"/>
    <w:tmpl w:val="EC30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A2798C"/>
    <w:rsid w:val="000344C2"/>
    <w:rsid w:val="00093F9A"/>
    <w:rsid w:val="000E7B74"/>
    <w:rsid w:val="00165E3D"/>
    <w:rsid w:val="001958BD"/>
    <w:rsid w:val="001A655E"/>
    <w:rsid w:val="001C7854"/>
    <w:rsid w:val="00390744"/>
    <w:rsid w:val="00456F43"/>
    <w:rsid w:val="004E7093"/>
    <w:rsid w:val="00594375"/>
    <w:rsid w:val="006C5EB3"/>
    <w:rsid w:val="00A2798C"/>
    <w:rsid w:val="00A54023"/>
    <w:rsid w:val="00A92742"/>
    <w:rsid w:val="00AB22C1"/>
    <w:rsid w:val="00BB4FF6"/>
    <w:rsid w:val="00C2202B"/>
    <w:rsid w:val="00C576A7"/>
    <w:rsid w:val="00CB593B"/>
    <w:rsid w:val="00CE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98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A2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5.ru/" TargetMode="External"/><Relationship Id="rId13" Type="http://schemas.openxmlformats.org/officeDocument/2006/relationships/hyperlink" Target="consultantplus://offline/ref=0BC2945BE168C16212740228B0C30CFA7C3C5E7699B84E48FE18640A354D1AADF4258F9E894C7C88686B5A55053CFADA037B78F9E885ED07aE5EE" TargetMode="External"/><Relationship Id="rId18" Type="http://schemas.openxmlformats.org/officeDocument/2006/relationships/hyperlink" Target="consultantplus://offline/ref=D8A4514EA509339429A5B9C11F2A1BA8FC6B80B6CD1473E80D36101A49EA387283A085C49E4551B690EBB77C72E92621DBFC976888vB5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hyperlink" Target="http://www.mfc45.ru/" TargetMode="External"/><Relationship Id="rId17" Type="http://schemas.openxmlformats.org/officeDocument/2006/relationships/hyperlink" Target="consultantplus://offline/ref=D8A4514EA509339429A5B9C11F2A1BA8FC6B80B6CD1473E80D36101A49EA387283A085C49D4451B690EBB77C72E92621DBFC976888vB5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A4514EA509339429A5B9C11F2A1BA8FC6B80B6CD1473E80D36101A49EA387283A085C49D4651B690EBB77C72E92621DBFC976888vB5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hyperlink" Target="http://www.mfc45.ru/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15" Type="http://schemas.openxmlformats.org/officeDocument/2006/relationships/hyperlink" Target="consultantplus://offline/ref=D8A4514EA509339429A5B9C11F2A1BA8FC6B80B6CD1473E80D36101A49EA387283A085C4994751B690EBB77C72E92621DBFC976888vB5BM" TargetMode="External"/><Relationship Id="rId10" Type="http://schemas.openxmlformats.org/officeDocument/2006/relationships/hyperlink" Target="http://www.mfc45.ru/" TargetMode="External"/><Relationship Id="rId19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45.ru/" TargetMode="External"/><Relationship Id="rId14" Type="http://schemas.openxmlformats.org/officeDocument/2006/relationships/hyperlink" Target="consultantplus://offline/ref=0BC2945BE168C16212740228B0C30CFA7C3C5E7699B84E48FE18640A354D1AADF4258F9E894C7C88686B5A55053CFADA037B78F9E885ED07aE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20614</Words>
  <Characters>117500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Куми-ПК</cp:lastModifiedBy>
  <cp:revision>2</cp:revision>
  <dcterms:created xsi:type="dcterms:W3CDTF">2020-07-10T05:06:00Z</dcterms:created>
  <dcterms:modified xsi:type="dcterms:W3CDTF">2020-07-10T05:06:00Z</dcterms:modified>
</cp:coreProperties>
</file>