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F311F1" w:rsidRPr="00297AA1" w:rsidTr="00C374AF">
        <w:tc>
          <w:tcPr>
            <w:tcW w:w="9922" w:type="dxa"/>
          </w:tcPr>
          <w:p w:rsidR="00F311F1" w:rsidRPr="008D0D68" w:rsidRDefault="00F311F1" w:rsidP="00F97E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F311F1" w:rsidRPr="008D0D68" w:rsidRDefault="00F311F1" w:rsidP="00F97E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F311F1" w:rsidRPr="008D0D68" w:rsidRDefault="00F311F1" w:rsidP="00F97E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</w:p>
          <w:p w:rsidR="00F311F1" w:rsidRPr="008D0D68" w:rsidRDefault="00F311F1" w:rsidP="00F97E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</w:p>
          <w:p w:rsidR="00F311F1" w:rsidRDefault="00F311F1" w:rsidP="00F97E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F311F1" w:rsidRDefault="00F311F1" w:rsidP="00F97E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F311F1" w:rsidRPr="008D0D68" w:rsidRDefault="00F311F1" w:rsidP="00F97E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F311F1" w:rsidRPr="008D0D68" w:rsidRDefault="00F311F1" w:rsidP="00E373D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  <w:tr w:rsidR="00F311F1" w:rsidRPr="00297AA1" w:rsidTr="00C374AF">
        <w:tc>
          <w:tcPr>
            <w:tcW w:w="9922" w:type="dxa"/>
          </w:tcPr>
          <w:p w:rsidR="00F311F1" w:rsidRPr="008D0D68" w:rsidRDefault="00F311F1" w:rsidP="00F97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311F1" w:rsidRPr="00297AA1" w:rsidTr="00C374AF">
        <w:tc>
          <w:tcPr>
            <w:tcW w:w="9922" w:type="dxa"/>
          </w:tcPr>
          <w:p w:rsidR="00F311F1" w:rsidRPr="008D0D68" w:rsidRDefault="00F311F1" w:rsidP="00F97EB4">
            <w:pPr>
              <w:rPr>
                <w:sz w:val="24"/>
                <w:szCs w:val="24"/>
              </w:rPr>
            </w:pPr>
          </w:p>
          <w:p w:rsidR="00F311F1" w:rsidRPr="008D0D68" w:rsidRDefault="00F311F1" w:rsidP="00F97EB4">
            <w:pPr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29 ноября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475</w:t>
            </w:r>
          </w:p>
          <w:p w:rsidR="00F311F1" w:rsidRPr="008D0D68" w:rsidRDefault="00F311F1" w:rsidP="00F9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  <w:r w:rsidRPr="008D0D68">
              <w:rPr>
                <w:sz w:val="24"/>
                <w:szCs w:val="24"/>
              </w:rPr>
              <w:t xml:space="preserve">     </w:t>
            </w:r>
          </w:p>
        </w:tc>
      </w:tr>
    </w:tbl>
    <w:p w:rsidR="00F311F1" w:rsidRPr="00297AA1" w:rsidRDefault="00F311F1" w:rsidP="00C374AF">
      <w:pPr>
        <w:jc w:val="center"/>
        <w:rPr>
          <w:b/>
          <w:sz w:val="24"/>
          <w:szCs w:val="24"/>
        </w:rPr>
      </w:pPr>
      <w:bookmarkStart w:id="1" w:name="Par1"/>
      <w:bookmarkEnd w:id="1"/>
    </w:p>
    <w:p w:rsidR="00F311F1" w:rsidRPr="00297AA1" w:rsidRDefault="00F311F1" w:rsidP="00C374AF">
      <w:pPr>
        <w:jc w:val="center"/>
        <w:rPr>
          <w:b/>
          <w:sz w:val="24"/>
          <w:szCs w:val="24"/>
        </w:rPr>
      </w:pPr>
    </w:p>
    <w:p w:rsidR="00F311F1" w:rsidRDefault="00F311F1" w:rsidP="00C374AF">
      <w:pPr>
        <w:pStyle w:val="ConsPlusTitle"/>
        <w:ind w:right="5453"/>
        <w:jc w:val="both"/>
      </w:pPr>
      <w:r w:rsidRPr="00C374AF">
        <w:t>Об утверждении Положения</w:t>
      </w:r>
      <w:r>
        <w:t xml:space="preserve"> </w:t>
      </w:r>
      <w:r w:rsidRPr="00C374AF">
        <w:t xml:space="preserve">об оплате труда работников  </w:t>
      </w:r>
      <w:r>
        <w:t>муниципальных постов</w:t>
      </w:r>
      <w:r w:rsidRPr="00C374AF">
        <w:t xml:space="preserve"> </w:t>
      </w:r>
      <w:r>
        <w:t>пожарной охраны</w:t>
      </w:r>
      <w:r w:rsidRPr="00C374AF">
        <w:t xml:space="preserve"> </w:t>
      </w:r>
      <w:r>
        <w:t>территориальных отделов</w:t>
      </w:r>
      <w:r w:rsidRPr="00C374AF">
        <w:t xml:space="preserve"> </w:t>
      </w:r>
      <w:r>
        <w:t>Администрации</w:t>
      </w:r>
      <w:r w:rsidRPr="00C374AF">
        <w:t xml:space="preserve"> Притобольного муниципального</w:t>
      </w:r>
      <w:r>
        <w:t xml:space="preserve"> </w:t>
      </w:r>
      <w:r w:rsidRPr="00C374AF">
        <w:t>округа Курганской области</w:t>
      </w:r>
    </w:p>
    <w:p w:rsidR="00F311F1" w:rsidRPr="00C374AF" w:rsidRDefault="00F311F1" w:rsidP="00C374AF">
      <w:pPr>
        <w:pStyle w:val="ConsPlusTitle"/>
        <w:ind w:right="5453"/>
        <w:jc w:val="both"/>
      </w:pP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  <w:r w:rsidRPr="005E770D">
        <w:t xml:space="preserve">        В  соответствии со </w:t>
      </w:r>
      <w:hyperlink r:id="rId7" w:history="1">
        <w:r w:rsidRPr="005E770D">
          <w:rPr>
            <w:rStyle w:val="Hyperlink"/>
            <w:color w:val="000000"/>
            <w:u w:val="none"/>
          </w:rPr>
          <w:t>статьей 144</w:t>
        </w:r>
      </w:hyperlink>
      <w:r w:rsidRPr="005E770D">
        <w:t> Трудового кодекса Российской Федерации, Федеральным законом от 06 октября 2003 года № 131-ФЗ «Об общих принципах организации местного самоуправления Российской Федерации», на основании Устава Администрации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  <w:r w:rsidRPr="005E770D">
        <w:t xml:space="preserve"> ПОСТАНОВЛЯЕТ:   </w:t>
      </w: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  <w:r w:rsidRPr="005E770D">
        <w:t xml:space="preserve">    1. Утвердить </w:t>
      </w:r>
      <w:hyperlink r:id="rId8" w:history="1">
        <w:r w:rsidRPr="005E770D">
          <w:rPr>
            <w:rStyle w:val="Hyperlink"/>
            <w:color w:val="000000"/>
            <w:u w:val="none"/>
          </w:rPr>
          <w:t>Положение</w:t>
        </w:r>
      </w:hyperlink>
      <w:r w:rsidRPr="005E770D">
        <w:t> об оплате труда работников муниципальных постов пожарной охраны территориальных отделов Администрации Притобольного муниципального округа Курганской области согласно приложению к настоящему постановлению.</w:t>
      </w: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  <w:r w:rsidRPr="005E770D">
        <w:t xml:space="preserve">       2. Установить, что расходы производятся в пределах выделенных бюджетных ассигнований утвержденных на оплату труда.</w:t>
      </w: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  <w:r w:rsidRPr="005E770D">
        <w:t xml:space="preserve">      3. Признать утратившим силу постановление Администрации Притобольного муниципального округа Курганской области № 320 от 12 августа 2024 года.</w:t>
      </w: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  <w:r w:rsidRPr="005E770D">
        <w:t xml:space="preserve">      4. Опубликовать настоящее постановление в установленном порядке.</w:t>
      </w: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  <w:r w:rsidRPr="005E770D">
        <w:t xml:space="preserve">      5. Настоящее постановление вступает в силу с 1 декабря 2024 года.</w:t>
      </w: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  <w:r w:rsidRPr="005E770D">
        <w:t xml:space="preserve">      6. Контроль за выполнением настоящего постановления возложить на заместителя руководителя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</w:p>
    <w:p w:rsidR="00F311F1" w:rsidRPr="005E770D" w:rsidRDefault="00F311F1" w:rsidP="00F05D67">
      <w:pPr>
        <w:pStyle w:val="NormalWeb"/>
        <w:spacing w:before="0" w:beforeAutospacing="0" w:after="0" w:afterAutospacing="0"/>
        <w:jc w:val="both"/>
      </w:pPr>
    </w:p>
    <w:p w:rsidR="00F311F1" w:rsidRPr="005E770D" w:rsidRDefault="00F311F1" w:rsidP="00F05D67">
      <w:pPr>
        <w:jc w:val="both"/>
        <w:rPr>
          <w:sz w:val="24"/>
          <w:szCs w:val="24"/>
        </w:rPr>
      </w:pPr>
      <w:r w:rsidRPr="005E770D">
        <w:rPr>
          <w:sz w:val="24"/>
          <w:szCs w:val="24"/>
        </w:rPr>
        <w:t>Временно исполняющий полномочия</w:t>
      </w:r>
    </w:p>
    <w:p w:rsidR="00F311F1" w:rsidRPr="005E770D" w:rsidRDefault="00F311F1" w:rsidP="00F05D67">
      <w:pPr>
        <w:jc w:val="both"/>
        <w:rPr>
          <w:sz w:val="24"/>
          <w:szCs w:val="24"/>
        </w:rPr>
      </w:pPr>
      <w:r w:rsidRPr="005E770D">
        <w:rPr>
          <w:sz w:val="24"/>
          <w:szCs w:val="24"/>
        </w:rPr>
        <w:t xml:space="preserve">Главы Притобольного муниципального округа  </w:t>
      </w:r>
    </w:p>
    <w:p w:rsidR="00F311F1" w:rsidRPr="005E770D" w:rsidRDefault="00F311F1" w:rsidP="00F05D67">
      <w:pPr>
        <w:jc w:val="both"/>
        <w:rPr>
          <w:sz w:val="24"/>
          <w:szCs w:val="24"/>
        </w:rPr>
      </w:pPr>
      <w:r w:rsidRPr="005E770D">
        <w:rPr>
          <w:sz w:val="24"/>
          <w:szCs w:val="24"/>
        </w:rPr>
        <w:t>Курганской области                                                                                           В.Н. Ильин</w:t>
      </w:r>
    </w:p>
    <w:p w:rsidR="00F311F1" w:rsidRPr="005E770D" w:rsidRDefault="00F311F1" w:rsidP="00F05D67">
      <w:pPr>
        <w:jc w:val="both"/>
        <w:rPr>
          <w:sz w:val="24"/>
          <w:szCs w:val="24"/>
        </w:rPr>
      </w:pPr>
    </w:p>
    <w:p w:rsidR="00F311F1" w:rsidRDefault="00F311F1" w:rsidP="00C374AF">
      <w:pPr>
        <w:jc w:val="both"/>
        <w:rPr>
          <w:shd w:val="clear" w:color="auto" w:fill="FFFFFF"/>
        </w:rPr>
      </w:pPr>
    </w:p>
    <w:p w:rsidR="00F311F1" w:rsidRDefault="00F311F1" w:rsidP="00C374AF">
      <w:pPr>
        <w:jc w:val="both"/>
        <w:rPr>
          <w:shd w:val="clear" w:color="auto" w:fill="FFFFFF"/>
        </w:rPr>
      </w:pPr>
    </w:p>
    <w:p w:rsidR="00F311F1" w:rsidRDefault="00F311F1" w:rsidP="00C374AF">
      <w:pPr>
        <w:jc w:val="both"/>
        <w:rPr>
          <w:shd w:val="clear" w:color="auto" w:fill="FFFFFF"/>
        </w:rPr>
      </w:pPr>
    </w:p>
    <w:p w:rsidR="00F311F1" w:rsidRDefault="00F311F1" w:rsidP="00C374AF">
      <w:pPr>
        <w:jc w:val="both"/>
        <w:rPr>
          <w:shd w:val="clear" w:color="auto" w:fill="FFFFFF"/>
        </w:rPr>
      </w:pPr>
    </w:p>
    <w:p w:rsidR="00F311F1" w:rsidRDefault="00F311F1" w:rsidP="00C374AF">
      <w:pPr>
        <w:jc w:val="both"/>
        <w:rPr>
          <w:shd w:val="clear" w:color="auto" w:fill="FFFFFF"/>
        </w:rPr>
      </w:pPr>
    </w:p>
    <w:p w:rsidR="00F311F1" w:rsidRPr="005E770D" w:rsidRDefault="00F311F1" w:rsidP="00C374AF">
      <w:pPr>
        <w:jc w:val="both"/>
        <w:rPr>
          <w:shd w:val="clear" w:color="auto" w:fill="FFFFFF"/>
        </w:rPr>
      </w:pPr>
      <w:r w:rsidRPr="005E770D">
        <w:rPr>
          <w:shd w:val="clear" w:color="auto" w:fill="FFFFFF"/>
        </w:rPr>
        <w:t>Пикулева Н.А.</w:t>
      </w:r>
    </w:p>
    <w:p w:rsidR="00F311F1" w:rsidRPr="005E770D" w:rsidRDefault="00F311F1" w:rsidP="00C374AF">
      <w:pPr>
        <w:jc w:val="both"/>
        <w:rPr>
          <w:shd w:val="clear" w:color="auto" w:fill="FFFFFF"/>
        </w:rPr>
      </w:pPr>
      <w:r w:rsidRPr="005E770D">
        <w:rPr>
          <w:shd w:val="clear" w:color="auto" w:fill="FFFFFF"/>
        </w:rPr>
        <w:t>42-82-86 доб.307</w:t>
      </w:r>
    </w:p>
    <w:p w:rsidR="00F311F1" w:rsidRDefault="00F311F1" w:rsidP="00C374AF">
      <w:pPr>
        <w:jc w:val="center"/>
        <w:rPr>
          <w:sz w:val="24"/>
          <w:szCs w:val="24"/>
        </w:rPr>
      </w:pPr>
    </w:p>
    <w:p w:rsidR="00F311F1" w:rsidRPr="004A707F" w:rsidRDefault="00F311F1" w:rsidP="00E664F3">
      <w:pPr>
        <w:ind w:left="5664"/>
        <w:rPr>
          <w:sz w:val="22"/>
          <w:szCs w:val="22"/>
        </w:rPr>
      </w:pPr>
      <w:r w:rsidRPr="004A707F">
        <w:rPr>
          <w:color w:val="282828"/>
          <w:sz w:val="22"/>
          <w:szCs w:val="22"/>
        </w:rPr>
        <w:t xml:space="preserve">Приложение к постановлению Администрации _Притобольного муниципального округа Курганской области от </w:t>
      </w:r>
      <w:r>
        <w:rPr>
          <w:sz w:val="24"/>
          <w:szCs w:val="24"/>
        </w:rPr>
        <w:t xml:space="preserve">29 ноября </w:t>
      </w:r>
      <w:r w:rsidRPr="008D0D68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8D0D68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8D0D68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475</w:t>
      </w:r>
      <w:r>
        <w:rPr>
          <w:sz w:val="22"/>
          <w:szCs w:val="22"/>
        </w:rPr>
        <w:t xml:space="preserve"> </w:t>
      </w:r>
      <w:r w:rsidRPr="004A707F">
        <w:rPr>
          <w:color w:val="282828"/>
          <w:sz w:val="22"/>
          <w:szCs w:val="22"/>
        </w:rPr>
        <w:t>«Об утверждении Положения об оплате труда работников муниципальных постов пожарной охраны территориальных отделов Администрации Притобольного муниципального округа»</w:t>
      </w:r>
    </w:p>
    <w:p w:rsidR="00F311F1" w:rsidRDefault="00F311F1" w:rsidP="00BE4AD5">
      <w:pPr>
        <w:ind w:left="4944"/>
      </w:pPr>
      <w:r>
        <w:rPr>
          <w:rStyle w:val="Strong"/>
          <w:color w:val="282828"/>
        </w:rPr>
        <w:t>  </w:t>
      </w:r>
    </w:p>
    <w:p w:rsidR="00F311F1" w:rsidRPr="0041028E" w:rsidRDefault="00F311F1" w:rsidP="00E664F3">
      <w:pPr>
        <w:pStyle w:val="NormalWeb"/>
        <w:spacing w:before="0" w:beforeAutospacing="0"/>
        <w:jc w:val="center"/>
        <w:rPr>
          <w:sz w:val="22"/>
          <w:szCs w:val="22"/>
        </w:rPr>
      </w:pPr>
      <w:r w:rsidRPr="0041028E">
        <w:rPr>
          <w:b/>
          <w:bCs/>
          <w:sz w:val="22"/>
          <w:szCs w:val="22"/>
        </w:rPr>
        <w:t>ПОЛОЖЕНИЕ</w:t>
      </w:r>
    </w:p>
    <w:p w:rsidR="00F311F1" w:rsidRPr="0041028E" w:rsidRDefault="00F311F1" w:rsidP="00A114DC">
      <w:pPr>
        <w:pStyle w:val="NormalWeb"/>
        <w:spacing w:before="0" w:beforeAutospacing="0"/>
        <w:jc w:val="both"/>
        <w:rPr>
          <w:sz w:val="22"/>
          <w:szCs w:val="22"/>
        </w:rPr>
      </w:pPr>
      <w:r w:rsidRPr="0041028E">
        <w:rPr>
          <w:b/>
          <w:bCs/>
          <w:sz w:val="22"/>
          <w:szCs w:val="22"/>
        </w:rPr>
        <w:t>об оплате труда работников муниципальных постов пожарной охраны территориальных отделов Администрации Притобольного муниципального округа Курганской области</w:t>
      </w:r>
      <w:r w:rsidRPr="0041028E">
        <w:rPr>
          <w:rStyle w:val="Strong"/>
          <w:color w:val="282828"/>
          <w:sz w:val="22"/>
          <w:szCs w:val="22"/>
        </w:rPr>
        <w:t> </w:t>
      </w:r>
    </w:p>
    <w:p w:rsidR="00F311F1" w:rsidRPr="00A114DC" w:rsidRDefault="00F311F1" w:rsidP="00A114DC">
      <w:pPr>
        <w:pStyle w:val="NormalWeb"/>
        <w:spacing w:before="0" w:beforeAutospacing="0"/>
        <w:jc w:val="both"/>
      </w:pPr>
      <w:r>
        <w:rPr>
          <w:rStyle w:val="Strong"/>
          <w:color w:val="282828"/>
        </w:rPr>
        <w:t xml:space="preserve">                                                    </w:t>
      </w:r>
      <w:r w:rsidRPr="00A114DC">
        <w:rPr>
          <w:rStyle w:val="Strong"/>
          <w:color w:val="282828"/>
        </w:rPr>
        <w:t>Раздел I. Общие положения</w:t>
      </w:r>
      <w:r w:rsidRPr="00A114DC">
        <w:rPr>
          <w:color w:val="282828"/>
        </w:rPr>
        <w:t> 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282828"/>
        </w:rPr>
        <w:t>1. Настоящее Положение об оплате труда работников муниципальных постов пожарной охраны территориальных отделов Администрации Притобольного муниципального округа Курганской области (далее - Положение) разработано в соответствии с Трудовым кодексом Российской Федерации, Федеральным законом от 06 октября 2003 года № 131 «Об общих принципах организации местного самоуправления Российской Федерации», в целях определения единых подхо</w:t>
      </w:r>
      <w:r w:rsidRPr="00A114DC">
        <w:t>дов к оплате труда указанных категорий  работников.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2. Условия оплаты труда работников включают размеры должностных окладов, условия и размеры  выплат компенсационного и стимулирующего характера в соответствии с перечнями видов выплат компенсационного и стимулирующего характера.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3. 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 (профессии), а также должности (профессии), занимаемой по совместительству, производится раздельно по каждой из должностей (профессий).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4. Заработная плата работника предельными размерами не ограничивается.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5. Заработная плата (без учета премий и иных стимулирующих выплат), устанавливаемая в соответствии с отраслевой системой оплаты труда, не может быть ниже заработной платы,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 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center"/>
      </w:pPr>
      <w:r w:rsidRPr="00A114DC">
        <w:rPr>
          <w:rStyle w:val="Strong"/>
        </w:rPr>
        <w:t>Раздел II. Основные условия оплаты труда.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center"/>
      </w:pPr>
      <w:r w:rsidRPr="00A114DC">
        <w:rPr>
          <w:rStyle w:val="Strong"/>
        </w:rPr>
        <w:t>Размеры должностных окладов работников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6. Тарифные ставки работников, осуществляющих профессиональную деятельность по профессиям рабочих, приведены в таблице 1.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Таблица 1 (рубль)</w:t>
      </w:r>
    </w:p>
    <w:tbl>
      <w:tblPr>
        <w:tblW w:w="1003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923"/>
        <w:gridCol w:w="335"/>
        <w:gridCol w:w="518"/>
        <w:gridCol w:w="518"/>
        <w:gridCol w:w="563"/>
        <w:gridCol w:w="579"/>
        <w:gridCol w:w="853"/>
        <w:gridCol w:w="868"/>
        <w:gridCol w:w="959"/>
        <w:gridCol w:w="1919"/>
      </w:tblGrid>
      <w:tr w:rsidR="00F311F1" w:rsidRPr="00A114DC" w:rsidTr="00BE4AD5">
        <w:trPr>
          <w:tblCellSpacing w:w="0" w:type="dxa"/>
          <w:jc w:val="right"/>
        </w:trPr>
        <w:tc>
          <w:tcPr>
            <w:tcW w:w="28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Категория работников</w:t>
            </w:r>
          </w:p>
        </w:tc>
        <w:tc>
          <w:tcPr>
            <w:tcW w:w="70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Размер тарифной ставки по группам </w:t>
            </w:r>
          </w:p>
        </w:tc>
      </w:tr>
      <w:tr w:rsidR="00F311F1" w:rsidRPr="00A114DC" w:rsidTr="00BE4AD5">
        <w:trPr>
          <w:tblCellSpacing w:w="0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41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I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II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III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IV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V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VI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VII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VIII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 xml:space="preserve">IX </w:t>
            </w:r>
          </w:p>
        </w:tc>
      </w:tr>
      <w:tr w:rsidR="00F311F1" w:rsidRPr="00A114DC" w:rsidTr="00BE4AD5">
        <w:trPr>
          <w:tblCellSpacing w:w="0" w:type="dxa"/>
          <w:jc w:val="right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водитель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11192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12298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13512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311F1" w:rsidRPr="00A114DC" w:rsidRDefault="00F311F1" w:rsidP="00A114DC">
            <w:pPr>
              <w:pStyle w:val="NormalWeb"/>
              <w:spacing w:before="0" w:beforeAutospacing="0" w:after="0" w:afterAutospacing="0"/>
              <w:jc w:val="both"/>
            </w:pPr>
            <w:r w:rsidRPr="00A114DC">
              <w:t>14855-17567</w:t>
            </w:r>
          </w:p>
        </w:tc>
      </w:tr>
    </w:tbl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Наименования должностей, специальностей и трудовых функций работников, осуществляющих профессиональную деятельность по профессиям рабочих, определяются локальными нормативными актами с учетом утвержденных профессиональных стандартов.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 xml:space="preserve">При отсутствии профессиональных стандартов тарификация работ и присвоение профессиональной квалификации работникам, осуществляющим профессиональную деятельность по профессиям рабочих, производятся по действующему </w:t>
      </w:r>
      <w:hyperlink r:id="rId9" w:history="1">
        <w:r w:rsidRPr="00A114DC">
          <w:rPr>
            <w:rStyle w:val="Hyperlink"/>
            <w:color w:val="000000"/>
          </w:rPr>
          <w:t>Единому тарифно-квалификационному справочнику</w:t>
        </w:r>
      </w:hyperlink>
      <w:r w:rsidRPr="00A114DC">
        <w:t xml:space="preserve"> работ и профессий рабочих.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282828"/>
        </w:rPr>
        <w:t>Конкретные размеры тарифных ставок по профессиям рабочих устанавливаются с учетом сложности выполняемой работы в зависимости от уровня квалификации (разряда) выполняемых работ, установленного профессиональными стандартами (</w:t>
      </w:r>
      <w:hyperlink r:id="rId10" w:history="1">
        <w:r w:rsidRPr="00A114DC">
          <w:rPr>
            <w:rStyle w:val="Hyperlink"/>
            <w:color w:val="000000"/>
          </w:rPr>
          <w:t>Едиными тарифно-квалификационными справочниками</w:t>
        </w:r>
      </w:hyperlink>
      <w:r w:rsidRPr="00A114DC">
        <w:t xml:space="preserve"> </w:t>
      </w:r>
      <w:r w:rsidRPr="00A114DC">
        <w:rPr>
          <w:color w:val="282828"/>
        </w:rPr>
        <w:t>работ и профессий рабочих).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</w:p>
    <w:p w:rsidR="00F311F1" w:rsidRPr="00A114DC" w:rsidRDefault="00F311F1" w:rsidP="00A114DC">
      <w:pPr>
        <w:pStyle w:val="NormalWeb"/>
        <w:spacing w:before="0" w:beforeAutospacing="0" w:after="0" w:afterAutospacing="0"/>
        <w:jc w:val="center"/>
      </w:pPr>
      <w:r w:rsidRPr="00A114DC">
        <w:rPr>
          <w:rStyle w:val="Strong"/>
        </w:rPr>
        <w:t>Раздел III. Условия, размеры и порядок осуществления выплат компенсационного характера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8. Выплаты компенсационного характера, размеры и условия их осуществления работникам устанавливаются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Работникам устанавливаются следующие виды выплат компенсационного характера: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- выплаты за работу в местностях с особыми климатическими условиями;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- 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Размеры выплат компенсационного характера не могут быть ниже размеров, установленных в соответствии с законодательством Российской Федерации.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9. Коэффициент за работу в местностях с особыми климатическими условиями (районный коэффициент) в Курганской области применяется в размере 15 процентов к общей сумме начисленной заработной платы.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10. 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в ночное время и при выполнении работ в других условиях, отклоняющихся от нормальных), устанавливаемые за фактическое время выполнения работ: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- за работу в ночное время производится работникам за каждый час работы в ночное время. Ночным считается время с 22 часов до 6 часов утра. Доплата производится в следующих размерах: из расчета 35 процентов часовой тарифной ставки за каждый час работы в ночное время;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- доплата за работу в выходные и нерабочие праздничные дни производится работникам, привлекающимся к работе в выходные и нерабочие праздничные дни в установленном законодательством порядке;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- повышенная оплата сверхурочной работы составляет за первые два часа работы не менее полуторного размера, за последующие часы - не менее двойного размера в соответствии со статьей 152 Трудового кодекса Российской Федерации.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Конкретные размеры оплаты за сверхурочную работу определяются коллективным договором, локальным нормативным актом или трудовым договором.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11. Работникам производятся иные выплаты компенсационного характера, предусмотренные законодательными и нормативными правовыми актами Российской Федерации: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- 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обязанностей временно отсутствующего работника;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- доплата за руководство водителями — до 25 процентов должностного оклада.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Работник имеет право досрочно отказаться от выполнения дополнительной работы, а руководитель отменить поручение об ее выполнении, предупредив об этом другую сторону в письменной форме не позднее, чем за три рабочих дня. 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center"/>
      </w:pPr>
      <w:r w:rsidRPr="00A114DC">
        <w:rPr>
          <w:rStyle w:val="Strong"/>
        </w:rPr>
        <w:t>Раздел IV. Условия, размеры и порядок осуществления выплат стимулирующего характера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12. Выплаты стимулирующего характера работникам устанавливаются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К видам выплат стимулирующего характера относятся: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выплаты за интенсивность и высокие результаты работы: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выплаты за качество выполняемых работ;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выплаты за стаж непрерывной работы, выслугу лет;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премиальные выплаты по итогам работы.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Размер выплаты стимулирующего характера может определяться как в процентах к должностному окладу работника, так и в абсолютном размере. Премии за выполнение особо важных и срочных работ рекомендуется выплачивать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t>Выплаты за интенсивность и высокие результаты работы, устанавливаемые на постоянной основе: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надбавка за особые условия труда (обеспечение высокого уровня оперативно-технической готовности, специальный режим работы, сложность, напряженность и особые условия труда) - до 50 процентов должностного оклада.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надбавка за присвоенную квалификационную категорию водителям автомобилей 2-го класса - 10 процентов, 1-го класса - 25 процентов должностного оклада.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Квалификационные категории «водитель автомобиля второго класса», «водитель автомобиля первого класса» могут быть присвоены водителям автомобилей, которые прошли подготовку или переподготовку по единым программам и имеют водительское удостоверение с отметкой, дающей право управления определенными категориями транспортных средств («B», «C», «D», «E»).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Квалификационная категория «водитель автомобиля первого класса» может быть присвоена водителю автомобиля, имеющему квалификационную категорию «водитель автомобиля второго класса» не менее двух лет.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Квалификационная категория «водитель автомобиля второго класса» присваивается водителю автомобиля, имеющему водительский стаж не менее трех лет.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Конкретные показатели стимулирования работников устанавливаются коллективными договорами, трудовыми соглашениями, локальными нормативными актами.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13. Выплаты за стаж непрерывной работы, выслугу лет.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Ежемесячная процентная надбавка за выслугу лет (далее - процентная надбавка) выплачивается к должностным окладам заработной платы работников в следующих размерах при выслуге лет: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от 1 года до 3 лет - 5 процентов;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от 3 лет до 5 лет - 10 процентов;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от 5 лет до 10 лет - 15 процентов;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от 10 лет до 15 лет - 20 процентов;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свыше 15 лет - 30 процентов.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14. Премиальные выплаты по итогам работы: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1) выплата премии за определенный период (месяц, квартал, иной период текущего года).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Порядок и условия премирования (периодичность выплаты премии, показатели премирования, условия, при которых работникам могут быть снижены размеры премий или работники могут быть лишены премии полностью) устанавливаются положениями о премировании.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Конкретные размеры премий работников определяются в соответствии с личным вкладом каждого работника в выполнение задач, в пределах средств, предусматриваемых на эти цели фондом оплаты труда, и максимальными размерами не ограничиваются;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2) единовременное денежное вознаграждение (премия) за добросовестное выполнение должностных (трудовых) обязанностей по итогам календарного года (далее - годовая премия) в размере 2-х должностных окладов.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Годовая премия выплачивается в целях обеспечения материальной заинтересованности работников в своевременном и качественном выполнении своих должностных (трудовых) обязанностей, повышении ответственности за порученный участок работы.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Право на получение годовой премии имеют все работники, содержащиеся по утвержденным штатным расписаниям (штатам), в том числе принятые на работу на условиях совместительства.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Годовая премия выплачивается работнику в размере двух должностных окладов, фактически установленных ему по занимаемой должности (профессии) на 1 декабря календарного года, за который производится выплата годовой премии.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Работникам, проработавшим неполный календарный год, годовая премия выплачивается пропорционально отработанному времени в году. При этом размер годовой премии исчисляется путем деления полной суммы годовой премии за год на количество календарных дней в этом году и умножения на количество календарных дней периода работы в этом же году.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Работникам, принятым на работу на условиях совместительства, а также работающим неполное рабочее время, размер годовой премии устанавливается исходя из должностных окладов, исчисленных пропорционально отработанному рабочему времени, за которое выплачивается премия.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Годовая премия выплачивается в течение первого квартала года, следующего за истекшим календарным годом.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По решению руководителя территориального отдела</w:t>
      </w:r>
      <w:r>
        <w:rPr>
          <w:color w:val="000000"/>
        </w:rPr>
        <w:t xml:space="preserve"> Администрации Притобольного муниципального округа</w:t>
      </w:r>
      <w:r w:rsidRPr="00A114DC">
        <w:rPr>
          <w:color w:val="000000"/>
        </w:rPr>
        <w:t xml:space="preserve"> выплата годовой премии может производиться в декабре календарного года, за который она выплачивается.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Годовая премия выплачивается работникам на основании распоряжения руководителя территориального отдела</w:t>
      </w:r>
      <w:r>
        <w:rPr>
          <w:color w:val="000000"/>
        </w:rPr>
        <w:t xml:space="preserve"> Администрации Притобольного муниципального округа</w:t>
      </w:r>
      <w:r w:rsidRPr="00A114DC">
        <w:rPr>
          <w:color w:val="000000"/>
        </w:rPr>
        <w:t xml:space="preserve"> 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Руководитель территориального отдела</w:t>
      </w:r>
      <w:r w:rsidRPr="00F05D67">
        <w:rPr>
          <w:color w:val="000000"/>
        </w:rPr>
        <w:t xml:space="preserve"> </w:t>
      </w:r>
      <w:r>
        <w:rPr>
          <w:color w:val="000000"/>
        </w:rPr>
        <w:t xml:space="preserve">Администрации Притобольного муниципального округа </w:t>
      </w:r>
      <w:r w:rsidRPr="00A114DC">
        <w:rPr>
          <w:color w:val="000000"/>
        </w:rPr>
        <w:t xml:space="preserve"> имеет право лишать работников годовой премий за ненадлежащее исполнение должностных (трудовых) обязанностей в случаях, предусмотренных коллективными договорами.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Лишение годовой премии оформляется с обязательным указанием причины.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Годовая премия не выплачивается работникам: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заключившим трудовой договор на срок до двух месяцев;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выполняющим работу на условиях почасовой оплаты;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находящимся в отпуске по уходу за ребенком.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15. Работникам могут производиться иные выплаты стимулирующего характера, установленные законодательными и нормативными правовыми актами Российской Федерации и Курганской области.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A114DC">
        <w:rPr>
          <w:b/>
          <w:bCs/>
          <w:color w:val="000000"/>
          <w:sz w:val="20"/>
          <w:szCs w:val="20"/>
        </w:rPr>
        <w:t>Раздел V. ДРУГИЕ ВОПРОСЫ ОПЛАТЫ ТРУДА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 xml:space="preserve">16. Фонд оплаты труда работников формируется в расчете на штатную численность работников, в пределах лимитов бюджетных обязательств, выделяемых на оплату труда. 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17. Годовой фонд оплаты труда работников формируется исходя из объема денежных средств, направляемых на выплаты: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1) должностных окладов - в размере 12 должностных окладов;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bookmarkStart w:id="2" w:name="Par959"/>
      <w:bookmarkEnd w:id="2"/>
      <w:r w:rsidRPr="00A114DC">
        <w:rPr>
          <w:color w:val="000000"/>
        </w:rPr>
        <w:t>2) выплат компенсационного характера;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bookmarkStart w:id="3" w:name="Par960"/>
      <w:bookmarkEnd w:id="3"/>
      <w:r w:rsidRPr="00A114DC">
        <w:rPr>
          <w:color w:val="000000"/>
        </w:rPr>
        <w:t>3) выплат стимулирующего характера.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18. Фонд оплаты труда работников подлежит перерасчету и корректировке в случаях: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увеличения (индексации) должностных окладов;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изменения штатов (штатных расписаний, перечней);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существенных изменений условий оплаты труда;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принятия главным распорядителем средств решения о выделении дополнительных лимитов бюджетных обязательств на единовременные выплаты стимулирующего характера;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принятия решения о выделении дополнительных лимитов бюджетных обязательств на выплаты компенсационного характера;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- установления повышающего коэффициента к фонду оплаты труда.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19 Из фонда оплаты труда работникам может быть оказана материальная помощь. Условия выплаты материальной помощи и ее конкретные размеры устанавливаются локальными нормативными актами.</w:t>
      </w:r>
    </w:p>
    <w:p w:rsidR="00F311F1" w:rsidRPr="00A114DC" w:rsidRDefault="00F311F1" w:rsidP="00A114DC">
      <w:pPr>
        <w:pStyle w:val="NormalWeb"/>
        <w:spacing w:before="0" w:beforeAutospacing="0" w:after="0" w:afterAutospacing="0"/>
        <w:jc w:val="both"/>
      </w:pPr>
      <w:r w:rsidRPr="00A114DC">
        <w:rPr>
          <w:color w:val="000000"/>
        </w:rPr>
        <w:t>Решение об оказании материальной помощи работнику и ее конкретных размерах принимается на основании письменного заявления работника.</w:t>
      </w:r>
    </w:p>
    <w:p w:rsidR="00F311F1" w:rsidRPr="00A114DC" w:rsidRDefault="00F311F1" w:rsidP="0041028E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sectPr w:rsidR="00F311F1" w:rsidRPr="00A114DC" w:rsidSect="00163B5C">
      <w:headerReference w:type="even" r:id="rId11"/>
      <w:headerReference w:type="default" r:id="rId12"/>
      <w:footerReference w:type="even" r:id="rId13"/>
      <w:pgSz w:w="11909" w:h="16834"/>
      <w:pgMar w:top="1069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F1" w:rsidRDefault="00F311F1">
      <w:r>
        <w:separator/>
      </w:r>
    </w:p>
  </w:endnote>
  <w:endnote w:type="continuationSeparator" w:id="0">
    <w:p w:rsidR="00F311F1" w:rsidRDefault="00F3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F1" w:rsidRDefault="00F311F1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1F1" w:rsidRDefault="00F311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F1" w:rsidRDefault="00F311F1">
      <w:r>
        <w:separator/>
      </w:r>
    </w:p>
  </w:footnote>
  <w:footnote w:type="continuationSeparator" w:id="0">
    <w:p w:rsidR="00F311F1" w:rsidRDefault="00F3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F1" w:rsidRDefault="00F311F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1F1" w:rsidRDefault="00F311F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F1" w:rsidRDefault="00F311F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2214A"/>
    <w:rsid w:val="00026A69"/>
    <w:rsid w:val="00057069"/>
    <w:rsid w:val="00057C42"/>
    <w:rsid w:val="00067520"/>
    <w:rsid w:val="00081798"/>
    <w:rsid w:val="0009018D"/>
    <w:rsid w:val="00097BCE"/>
    <w:rsid w:val="00097D46"/>
    <w:rsid w:val="000A71C9"/>
    <w:rsid w:val="000B5194"/>
    <w:rsid w:val="000B6C4A"/>
    <w:rsid w:val="000C2BFE"/>
    <w:rsid w:val="000D09C6"/>
    <w:rsid w:val="0014694F"/>
    <w:rsid w:val="00161B5E"/>
    <w:rsid w:val="00163AB7"/>
    <w:rsid w:val="00163B5C"/>
    <w:rsid w:val="00163E85"/>
    <w:rsid w:val="00164DCC"/>
    <w:rsid w:val="00193909"/>
    <w:rsid w:val="001B0C1B"/>
    <w:rsid w:val="001B53C9"/>
    <w:rsid w:val="0021448E"/>
    <w:rsid w:val="00215C9D"/>
    <w:rsid w:val="00275B9E"/>
    <w:rsid w:val="002942A5"/>
    <w:rsid w:val="00297AA1"/>
    <w:rsid w:val="002A39F1"/>
    <w:rsid w:val="002A5075"/>
    <w:rsid w:val="002E74E3"/>
    <w:rsid w:val="002F759C"/>
    <w:rsid w:val="00300C61"/>
    <w:rsid w:val="003150B3"/>
    <w:rsid w:val="00327051"/>
    <w:rsid w:val="00330B38"/>
    <w:rsid w:val="003423F7"/>
    <w:rsid w:val="0034731D"/>
    <w:rsid w:val="00377736"/>
    <w:rsid w:val="00380546"/>
    <w:rsid w:val="00382BC7"/>
    <w:rsid w:val="003A35B7"/>
    <w:rsid w:val="003C3038"/>
    <w:rsid w:val="003F023A"/>
    <w:rsid w:val="003F0F92"/>
    <w:rsid w:val="0040178C"/>
    <w:rsid w:val="0041028E"/>
    <w:rsid w:val="00430BA8"/>
    <w:rsid w:val="00446B2F"/>
    <w:rsid w:val="0047274C"/>
    <w:rsid w:val="004811AD"/>
    <w:rsid w:val="004A707F"/>
    <w:rsid w:val="00520634"/>
    <w:rsid w:val="005308DE"/>
    <w:rsid w:val="00534697"/>
    <w:rsid w:val="00551FF9"/>
    <w:rsid w:val="00570F24"/>
    <w:rsid w:val="005866B7"/>
    <w:rsid w:val="005B5872"/>
    <w:rsid w:val="005C20F4"/>
    <w:rsid w:val="005C5DB3"/>
    <w:rsid w:val="005D5B77"/>
    <w:rsid w:val="005E770D"/>
    <w:rsid w:val="00644949"/>
    <w:rsid w:val="006543E1"/>
    <w:rsid w:val="0067712E"/>
    <w:rsid w:val="0068106D"/>
    <w:rsid w:val="00691D76"/>
    <w:rsid w:val="006C5677"/>
    <w:rsid w:val="006F35D4"/>
    <w:rsid w:val="007030AC"/>
    <w:rsid w:val="00723A32"/>
    <w:rsid w:val="00726758"/>
    <w:rsid w:val="00730E24"/>
    <w:rsid w:val="007620D6"/>
    <w:rsid w:val="00796BD9"/>
    <w:rsid w:val="007975A1"/>
    <w:rsid w:val="007B3653"/>
    <w:rsid w:val="007C58EF"/>
    <w:rsid w:val="007D6045"/>
    <w:rsid w:val="007D696A"/>
    <w:rsid w:val="007E1993"/>
    <w:rsid w:val="007E32E4"/>
    <w:rsid w:val="00803230"/>
    <w:rsid w:val="00837A28"/>
    <w:rsid w:val="008659C3"/>
    <w:rsid w:val="008A1013"/>
    <w:rsid w:val="008B040C"/>
    <w:rsid w:val="008D0D68"/>
    <w:rsid w:val="008E2659"/>
    <w:rsid w:val="008E4E2B"/>
    <w:rsid w:val="008F5A6F"/>
    <w:rsid w:val="00912C5A"/>
    <w:rsid w:val="009136E1"/>
    <w:rsid w:val="00914372"/>
    <w:rsid w:val="0092573A"/>
    <w:rsid w:val="00932D09"/>
    <w:rsid w:val="00933CA2"/>
    <w:rsid w:val="00972B7B"/>
    <w:rsid w:val="00985DBC"/>
    <w:rsid w:val="009A5F39"/>
    <w:rsid w:val="009A6C25"/>
    <w:rsid w:val="009C51E0"/>
    <w:rsid w:val="009E313B"/>
    <w:rsid w:val="009E45DD"/>
    <w:rsid w:val="009F1BD7"/>
    <w:rsid w:val="009F4C56"/>
    <w:rsid w:val="00A05AC2"/>
    <w:rsid w:val="00A114DC"/>
    <w:rsid w:val="00A367A1"/>
    <w:rsid w:val="00A45552"/>
    <w:rsid w:val="00A53486"/>
    <w:rsid w:val="00A652AD"/>
    <w:rsid w:val="00A72CC0"/>
    <w:rsid w:val="00AC1B9E"/>
    <w:rsid w:val="00AF1BAE"/>
    <w:rsid w:val="00B30BBA"/>
    <w:rsid w:val="00B51909"/>
    <w:rsid w:val="00B5533E"/>
    <w:rsid w:val="00B95314"/>
    <w:rsid w:val="00B95FDC"/>
    <w:rsid w:val="00BD46D7"/>
    <w:rsid w:val="00BE4AD5"/>
    <w:rsid w:val="00C130D4"/>
    <w:rsid w:val="00C16696"/>
    <w:rsid w:val="00C269CE"/>
    <w:rsid w:val="00C374AF"/>
    <w:rsid w:val="00C6528E"/>
    <w:rsid w:val="00C97BF1"/>
    <w:rsid w:val="00CA38BD"/>
    <w:rsid w:val="00CA6817"/>
    <w:rsid w:val="00CE5F3A"/>
    <w:rsid w:val="00D00F68"/>
    <w:rsid w:val="00D35BDA"/>
    <w:rsid w:val="00D70165"/>
    <w:rsid w:val="00D72F7D"/>
    <w:rsid w:val="00D736A9"/>
    <w:rsid w:val="00D9398E"/>
    <w:rsid w:val="00DA0A06"/>
    <w:rsid w:val="00DA49B4"/>
    <w:rsid w:val="00DB227A"/>
    <w:rsid w:val="00DE1FB1"/>
    <w:rsid w:val="00DE5825"/>
    <w:rsid w:val="00DF412A"/>
    <w:rsid w:val="00DF7C6A"/>
    <w:rsid w:val="00E0601C"/>
    <w:rsid w:val="00E264D9"/>
    <w:rsid w:val="00E324C9"/>
    <w:rsid w:val="00E373DD"/>
    <w:rsid w:val="00E43A6A"/>
    <w:rsid w:val="00E50473"/>
    <w:rsid w:val="00E52597"/>
    <w:rsid w:val="00E664F3"/>
    <w:rsid w:val="00E82E60"/>
    <w:rsid w:val="00E849AC"/>
    <w:rsid w:val="00E854B0"/>
    <w:rsid w:val="00E940E8"/>
    <w:rsid w:val="00EA0935"/>
    <w:rsid w:val="00EF4AD5"/>
    <w:rsid w:val="00F05D67"/>
    <w:rsid w:val="00F311F1"/>
    <w:rsid w:val="00F37154"/>
    <w:rsid w:val="00F5259D"/>
    <w:rsid w:val="00F70823"/>
    <w:rsid w:val="00F77787"/>
    <w:rsid w:val="00F87F3E"/>
    <w:rsid w:val="00F97EB4"/>
    <w:rsid w:val="00FD1A69"/>
    <w:rsid w:val="00FE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DA49B4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DA49B4"/>
    <w:rPr>
      <w:rFonts w:cs="Times New Roman"/>
      <w:color w:val="000080"/>
      <w:u w:val="single"/>
    </w:rPr>
  </w:style>
  <w:style w:type="paragraph" w:customStyle="1" w:styleId="ConsPlusCell">
    <w:name w:val="ConsPlusCell"/>
    <w:uiPriority w:val="99"/>
    <w:rsid w:val="00DA49B4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F97E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F97E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449241D20937AC928BF491F159F32A8DBBF3CC807A2395C2F5119CA33871708A478B7F1D2BCF3B5B5CDuCs9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C449241D20937AC928A1440979C338AAD2E736CD04AD6900700A449D3A8D404FEB21F2BDuDs6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818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818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6</Pages>
  <Words>2379</Words>
  <Characters>13562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29</cp:revision>
  <cp:lastPrinted>2024-11-27T10:39:00Z</cp:lastPrinted>
  <dcterms:created xsi:type="dcterms:W3CDTF">2023-08-28T12:12:00Z</dcterms:created>
  <dcterms:modified xsi:type="dcterms:W3CDTF">2024-11-29T05:17:00Z</dcterms:modified>
</cp:coreProperties>
</file>