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5" w:rsidRPr="005E2795" w:rsidRDefault="00D707A5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D707A5" w:rsidRPr="005E2795" w:rsidRDefault="00D707A5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D707A5" w:rsidRPr="005E2795" w:rsidRDefault="00D707A5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D707A5" w:rsidRPr="005E2795" w:rsidRDefault="00D707A5" w:rsidP="00145B35">
      <w:pPr>
        <w:jc w:val="center"/>
        <w:rPr>
          <w:b/>
        </w:rPr>
      </w:pPr>
      <w:r w:rsidRPr="005E2795">
        <w:rPr>
          <w:b/>
        </w:rPr>
        <w:t xml:space="preserve">АДМИНИСТРАЦИЯ ПРИТОБОЛЬНОГО </w:t>
      </w:r>
      <w:r>
        <w:rPr>
          <w:b/>
        </w:rPr>
        <w:t>МУНИЦИПАЛЬНОГО ОКРУГА КУРГАНСКОЙ ОБЛАСТИ</w:t>
      </w:r>
    </w:p>
    <w:p w:rsidR="00D707A5" w:rsidRPr="005E2795" w:rsidRDefault="00D707A5" w:rsidP="00145B35">
      <w:pPr>
        <w:rPr>
          <w:b/>
        </w:rPr>
      </w:pPr>
    </w:p>
    <w:p w:rsidR="00D707A5" w:rsidRPr="005E2795" w:rsidRDefault="00D707A5" w:rsidP="00145B35">
      <w:pPr>
        <w:rPr>
          <w:b/>
        </w:rPr>
      </w:pPr>
    </w:p>
    <w:p w:rsidR="00D707A5" w:rsidRPr="005E2795" w:rsidRDefault="00D707A5" w:rsidP="00145B35">
      <w:pPr>
        <w:rPr>
          <w:b/>
        </w:rPr>
      </w:pPr>
    </w:p>
    <w:p w:rsidR="00D707A5" w:rsidRPr="005E2795" w:rsidRDefault="00D707A5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D707A5" w:rsidRPr="005E2795" w:rsidRDefault="00D707A5" w:rsidP="00145B35">
      <w:pPr>
        <w:jc w:val="both"/>
        <w:rPr>
          <w:b/>
        </w:rPr>
      </w:pPr>
    </w:p>
    <w:p w:rsidR="00D707A5" w:rsidRPr="005E2795" w:rsidRDefault="00D707A5" w:rsidP="00145B35">
      <w:pPr>
        <w:jc w:val="both"/>
        <w:rPr>
          <w:b/>
        </w:rPr>
      </w:pPr>
    </w:p>
    <w:p w:rsidR="00D707A5" w:rsidRPr="00062EA8" w:rsidRDefault="00D707A5" w:rsidP="00145B35">
      <w:pPr>
        <w:jc w:val="both"/>
      </w:pPr>
      <w:r>
        <w:t>о</w:t>
      </w:r>
      <w:r w:rsidRPr="00062EA8">
        <w:t>т</w:t>
      </w:r>
      <w:r>
        <w:rPr>
          <w:u w:val="single"/>
        </w:rPr>
        <w:t xml:space="preserve"> </w:t>
      </w:r>
      <w:r w:rsidRPr="000F37F7">
        <w:t>16 апреля</w:t>
      </w:r>
      <w:r>
        <w:rPr>
          <w:u w:val="single"/>
        </w:rPr>
        <w:t xml:space="preserve"> </w:t>
      </w:r>
      <w:r w:rsidRPr="00062EA8">
        <w:t>202</w:t>
      </w:r>
      <w:r>
        <w:t>5</w:t>
      </w:r>
      <w:r w:rsidRPr="00062EA8">
        <w:t xml:space="preserve"> года  №</w:t>
      </w:r>
      <w:r>
        <w:t xml:space="preserve"> 158</w:t>
      </w:r>
    </w:p>
    <w:p w:rsidR="00D707A5" w:rsidRPr="00062EA8" w:rsidRDefault="00D707A5" w:rsidP="00145B35">
      <w:pPr>
        <w:jc w:val="both"/>
      </w:pPr>
      <w:r w:rsidRPr="00062EA8">
        <w:t>с. Глядянское</w:t>
      </w:r>
    </w:p>
    <w:p w:rsidR="00D707A5" w:rsidRPr="00062EA8" w:rsidRDefault="00D707A5" w:rsidP="00145B35">
      <w:pPr>
        <w:jc w:val="both"/>
      </w:pPr>
    </w:p>
    <w:p w:rsidR="00D707A5" w:rsidRPr="00062EA8" w:rsidRDefault="00D707A5" w:rsidP="00145B35">
      <w:pPr>
        <w:jc w:val="both"/>
      </w:pP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О внесении изменений</w:t>
      </w:r>
      <w:r>
        <w:rPr>
          <w:b/>
        </w:rPr>
        <w:t xml:space="preserve"> </w:t>
      </w:r>
      <w:r w:rsidRPr="00062EA8">
        <w:rPr>
          <w:b/>
        </w:rPr>
        <w:t>в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постановление Администрации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Притобольного</w:t>
      </w:r>
      <w:r>
        <w:rPr>
          <w:b/>
        </w:rPr>
        <w:t xml:space="preserve"> </w:t>
      </w:r>
      <w:r w:rsidRPr="00062EA8">
        <w:rPr>
          <w:b/>
        </w:rPr>
        <w:t>муниципального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округа Курганской области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от 30.</w:t>
      </w:r>
      <w:r>
        <w:rPr>
          <w:b/>
        </w:rPr>
        <w:t>10</w:t>
      </w:r>
      <w:r w:rsidRPr="00062EA8">
        <w:rPr>
          <w:b/>
        </w:rPr>
        <w:t>.2023 г. № 108 «Об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утверждении</w:t>
      </w:r>
      <w:r>
        <w:rPr>
          <w:b/>
        </w:rPr>
        <w:t xml:space="preserve"> </w:t>
      </w:r>
      <w:r w:rsidRPr="00062EA8">
        <w:rPr>
          <w:b/>
        </w:rPr>
        <w:t>муниципальной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программы «Развитие</w:t>
      </w:r>
      <w:r>
        <w:rPr>
          <w:b/>
        </w:rPr>
        <w:t xml:space="preserve"> </w:t>
      </w:r>
      <w:r w:rsidRPr="00062EA8">
        <w:rPr>
          <w:b/>
        </w:rPr>
        <w:t>образования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в Притобольном</w:t>
      </w:r>
      <w:r>
        <w:rPr>
          <w:b/>
        </w:rPr>
        <w:t xml:space="preserve"> </w:t>
      </w:r>
      <w:r w:rsidRPr="00062EA8">
        <w:rPr>
          <w:b/>
        </w:rPr>
        <w:t xml:space="preserve">муниципальном </w:t>
      </w:r>
    </w:p>
    <w:p w:rsidR="00D707A5" w:rsidRPr="00062EA8" w:rsidRDefault="00D707A5" w:rsidP="00FF73BB">
      <w:pPr>
        <w:rPr>
          <w:b/>
        </w:rPr>
      </w:pPr>
      <w:r w:rsidRPr="00062EA8">
        <w:rPr>
          <w:b/>
        </w:rPr>
        <w:t>округе</w:t>
      </w:r>
      <w:r>
        <w:rPr>
          <w:b/>
        </w:rPr>
        <w:t xml:space="preserve"> </w:t>
      </w:r>
      <w:r w:rsidRPr="00062EA8">
        <w:rPr>
          <w:b/>
        </w:rPr>
        <w:t>Курганской</w:t>
      </w:r>
      <w:r>
        <w:rPr>
          <w:b/>
        </w:rPr>
        <w:t xml:space="preserve"> </w:t>
      </w:r>
      <w:r w:rsidRPr="00062EA8">
        <w:rPr>
          <w:b/>
        </w:rPr>
        <w:t xml:space="preserve">области» </w:t>
      </w:r>
    </w:p>
    <w:p w:rsidR="00D707A5" w:rsidRDefault="00D707A5" w:rsidP="00FF73BB">
      <w:pPr>
        <w:rPr>
          <w:b/>
        </w:rPr>
      </w:pPr>
      <w:r w:rsidRPr="00062EA8">
        <w:rPr>
          <w:b/>
        </w:rPr>
        <w:t>на 2024-2026 годы»</w:t>
      </w:r>
    </w:p>
    <w:p w:rsidR="00D707A5" w:rsidRDefault="00D707A5" w:rsidP="00FF73BB">
      <w:pPr>
        <w:rPr>
          <w:b/>
        </w:rPr>
      </w:pPr>
    </w:p>
    <w:p w:rsidR="00D707A5" w:rsidRDefault="00D707A5" w:rsidP="00FF73BB">
      <w:pPr>
        <w:rPr>
          <w:b/>
        </w:rPr>
      </w:pPr>
    </w:p>
    <w:p w:rsidR="00D707A5" w:rsidRPr="00062EA8" w:rsidRDefault="00D707A5" w:rsidP="00030244">
      <w:pPr>
        <w:pStyle w:val="BodyText"/>
        <w:tabs>
          <w:tab w:val="left" w:pos="851"/>
        </w:tabs>
        <w:spacing w:after="0"/>
        <w:ind w:firstLine="709"/>
        <w:jc w:val="both"/>
      </w:pPr>
      <w:r w:rsidRPr="00062EA8">
        <w:t>В целях уточнения содержания нормативного правового акта Администрации Притобольного</w:t>
      </w:r>
      <w:r>
        <w:t xml:space="preserve"> </w:t>
      </w:r>
      <w:r w:rsidRPr="00062EA8">
        <w:t>муниципального округа Курганской области,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</w:t>
      </w:r>
      <w:r>
        <w:t xml:space="preserve"> </w:t>
      </w:r>
      <w:r w:rsidRPr="00062EA8">
        <w:t>муниципального округа Курганской области</w:t>
      </w:r>
    </w:p>
    <w:p w:rsidR="00D707A5" w:rsidRPr="00062EA8" w:rsidRDefault="00D707A5" w:rsidP="00E96569">
      <w:pPr>
        <w:pStyle w:val="BodyText"/>
        <w:tabs>
          <w:tab w:val="left" w:pos="851"/>
        </w:tabs>
        <w:spacing w:after="0"/>
        <w:jc w:val="both"/>
      </w:pPr>
      <w:r w:rsidRPr="00062EA8">
        <w:t xml:space="preserve">ПОСТАНОВЛЯЕТ: </w:t>
      </w:r>
    </w:p>
    <w:p w:rsidR="00D707A5" w:rsidRPr="00062EA8" w:rsidRDefault="00D707A5" w:rsidP="00877BC7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062EA8">
        <w:t>Внести в постановление Администрации Притобольного</w:t>
      </w:r>
      <w:r>
        <w:t xml:space="preserve"> </w:t>
      </w:r>
      <w:r w:rsidRPr="00062EA8">
        <w:t>муниципального округа Курганской области от 30.</w:t>
      </w:r>
      <w:r>
        <w:t>10</w:t>
      </w:r>
      <w:r w:rsidRPr="00062EA8">
        <w:t>.2023 г. № 108 «Об утверждении муниципальной программы «Развитие образования в Притобольном</w:t>
      </w:r>
      <w:r>
        <w:t xml:space="preserve"> </w:t>
      </w:r>
      <w:r w:rsidRPr="00062EA8">
        <w:t>муниципальном округе Курганской области»  на 2024-2026 годы»  следующие изменения:</w:t>
      </w:r>
    </w:p>
    <w:p w:rsidR="00D707A5" w:rsidRPr="00062EA8" w:rsidRDefault="00D707A5" w:rsidP="00877BC7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 w:rsidRPr="00062EA8">
        <w:t>в паспорте муниципальной программы строку «</w:t>
      </w:r>
      <w:r w:rsidRPr="00062EA8">
        <w:rPr>
          <w:spacing w:val="-2"/>
        </w:rPr>
        <w:t>Объемы бюджетных ассигнований» изложить в следующей редакции:</w:t>
      </w:r>
    </w:p>
    <w:p w:rsidR="00D707A5" w:rsidRPr="00062EA8" w:rsidRDefault="00D707A5" w:rsidP="00877BC7">
      <w:pPr>
        <w:pStyle w:val="BodyText"/>
        <w:tabs>
          <w:tab w:val="left" w:pos="851"/>
        </w:tabs>
        <w:spacing w:after="0"/>
        <w:jc w:val="both"/>
      </w:pPr>
      <w:r w:rsidRPr="00062EA8">
        <w:t>«</w:t>
      </w:r>
    </w:p>
    <w:tbl>
      <w:tblPr>
        <w:tblW w:w="9214" w:type="dxa"/>
        <w:tblInd w:w="10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3856"/>
        <w:gridCol w:w="5317"/>
      </w:tblGrid>
      <w:tr w:rsidR="00D707A5" w:rsidRPr="00062EA8" w:rsidTr="003354E8">
        <w:trPr>
          <w:trHeight w:val="1674"/>
        </w:trPr>
        <w:tc>
          <w:tcPr>
            <w:tcW w:w="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A5" w:rsidRPr="00062EA8" w:rsidRDefault="00D707A5" w:rsidP="003354E8">
            <w:pPr>
              <w:pStyle w:val="TableContents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7A5" w:rsidRPr="00062EA8" w:rsidRDefault="00D707A5" w:rsidP="003354E8">
            <w:pPr>
              <w:pStyle w:val="TableContents"/>
              <w:tabs>
                <w:tab w:val="left" w:pos="85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7A5" w:rsidRPr="00062EA8" w:rsidRDefault="00D707A5" w:rsidP="003354E8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Объемы финансирования  -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1262409,5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руб.</w:t>
            </w:r>
          </w:p>
          <w:p w:rsidR="00D707A5" w:rsidRPr="00062EA8" w:rsidRDefault="00D707A5" w:rsidP="003354E8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в том числе по годам:</w:t>
            </w:r>
          </w:p>
          <w:p w:rsidR="00D707A5" w:rsidRPr="00062EA8" w:rsidRDefault="00D707A5" w:rsidP="003354E8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437381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рублей</w:t>
            </w:r>
            <w:r w:rsidRPr="00062EA8">
              <w:rPr>
                <w:rFonts w:ascii="Times New Roman" w:hAnsi="Times New Roman" w:cs="Times New Roman"/>
                <w:iCs/>
                <w:sz w:val="24"/>
                <w:lang w:eastAsia="en-US"/>
              </w:rPr>
              <w:t>;</w:t>
            </w:r>
          </w:p>
          <w:p w:rsidR="00D707A5" w:rsidRPr="00062EA8" w:rsidRDefault="00D707A5" w:rsidP="003354E8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469123,5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рублей;</w:t>
            </w:r>
          </w:p>
          <w:p w:rsidR="00D707A5" w:rsidRPr="00062EA8" w:rsidRDefault="00D707A5" w:rsidP="00026FBC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355905</w:t>
            </w: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рублей</w:t>
            </w:r>
          </w:p>
        </w:tc>
      </w:tr>
    </w:tbl>
    <w:p w:rsidR="00D707A5" w:rsidRPr="00062EA8" w:rsidRDefault="00D707A5" w:rsidP="00877BC7">
      <w:pPr>
        <w:pStyle w:val="BodyText"/>
        <w:tabs>
          <w:tab w:val="left" w:pos="851"/>
        </w:tabs>
        <w:spacing w:after="0"/>
        <w:ind w:firstLine="567"/>
        <w:jc w:val="right"/>
      </w:pPr>
      <w:r w:rsidRPr="00062EA8">
        <w:t xml:space="preserve">»;  </w:t>
      </w:r>
    </w:p>
    <w:p w:rsidR="00D707A5" w:rsidRPr="00062EA8" w:rsidRDefault="00D707A5" w:rsidP="00877BC7">
      <w:pPr>
        <w:pStyle w:val="BodyText"/>
        <w:tabs>
          <w:tab w:val="left" w:pos="851"/>
        </w:tabs>
        <w:spacing w:after="0"/>
        <w:ind w:firstLine="567"/>
        <w:jc w:val="both"/>
      </w:pPr>
      <w:r w:rsidRPr="00062EA8">
        <w:t xml:space="preserve">2)  таблицу 3 в  Разделе Х. муниципальной программы </w:t>
      </w:r>
      <w:r w:rsidRPr="00062EA8">
        <w:rPr>
          <w:bCs/>
        </w:rPr>
        <w:t xml:space="preserve"> изложить в новой редакции согласно приложению 1 к настоящему постановлению;</w:t>
      </w:r>
    </w:p>
    <w:p w:rsidR="00D707A5" w:rsidRPr="00062EA8" w:rsidRDefault="00D707A5" w:rsidP="00877BC7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 w:rsidRPr="00062EA8">
        <w:t>3) в приложении 1 к муниципальной программе в паспорте подпрограммы строку «</w:t>
      </w:r>
      <w:r w:rsidRPr="00062EA8">
        <w:rPr>
          <w:spacing w:val="-2"/>
        </w:rPr>
        <w:t>Объемы бюджетных ассигнований» изложить в следующей редакции:</w:t>
      </w:r>
    </w:p>
    <w:p w:rsidR="00D707A5" w:rsidRPr="00062EA8" w:rsidRDefault="00D707A5" w:rsidP="00877BC7">
      <w:pPr>
        <w:pStyle w:val="BodyText"/>
        <w:tabs>
          <w:tab w:val="left" w:pos="567"/>
        </w:tabs>
        <w:spacing w:after="0"/>
        <w:jc w:val="both"/>
      </w:pPr>
      <w:r w:rsidRPr="00062EA8">
        <w:t xml:space="preserve">«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"/>
        <w:gridCol w:w="3664"/>
        <w:gridCol w:w="5408"/>
        <w:gridCol w:w="326"/>
      </w:tblGrid>
      <w:tr w:rsidR="00D707A5" w:rsidRPr="00062EA8" w:rsidTr="003354E8">
        <w:trPr>
          <w:trHeight w:val="242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7A5" w:rsidRPr="00062EA8" w:rsidRDefault="00D707A5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7A5" w:rsidRPr="00062EA8" w:rsidRDefault="00D707A5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D707A5" w:rsidRPr="00062EA8" w:rsidRDefault="00D707A5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7A5" w:rsidRPr="00062EA8" w:rsidRDefault="00D707A5" w:rsidP="00EE08FB">
            <w:pPr>
              <w:pStyle w:val="TableContents"/>
              <w:tabs>
                <w:tab w:val="left" w:pos="-33"/>
              </w:tabs>
              <w:ind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          Планируемый объем бюджетного финансирования подпрограммы на 2024-2026 годы, в тыс. руб.:</w:t>
            </w:r>
          </w:p>
          <w:p w:rsidR="00D707A5" w:rsidRPr="00062EA8" w:rsidRDefault="00D707A5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</w:rPr>
              <w:t>1107711,8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</w:p>
          <w:p w:rsidR="00D707A5" w:rsidRPr="00062EA8" w:rsidRDefault="00D707A5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D707A5" w:rsidRPr="00062EA8" w:rsidRDefault="00D707A5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</w:rPr>
              <w:t>387305,8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D707A5" w:rsidRPr="00062EA8" w:rsidRDefault="00D707A5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</w:rPr>
              <w:t>418458,4</w:t>
            </w:r>
            <w:r w:rsidRPr="00062EA8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D707A5" w:rsidRPr="00062EA8" w:rsidRDefault="00D707A5" w:rsidP="00026FBC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</w:rPr>
              <w:t>301947,6</w:t>
            </w:r>
            <w:r w:rsidRPr="00062EA8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07A5" w:rsidRPr="00062EA8" w:rsidRDefault="00D707A5" w:rsidP="003354E8">
            <w:pPr>
              <w:widowControl/>
              <w:tabs>
                <w:tab w:val="left" w:pos="567"/>
              </w:tabs>
              <w:suppressAutoHyphens w:val="0"/>
              <w:spacing w:after="200" w:line="276" w:lineRule="auto"/>
              <w:ind w:left="709" w:hanging="709"/>
            </w:pPr>
          </w:p>
        </w:tc>
      </w:tr>
    </w:tbl>
    <w:p w:rsidR="00D707A5" w:rsidRPr="00062EA8" w:rsidRDefault="00D707A5" w:rsidP="00877BC7">
      <w:pPr>
        <w:pStyle w:val="BodyText"/>
        <w:tabs>
          <w:tab w:val="left" w:pos="567"/>
          <w:tab w:val="left" w:pos="851"/>
        </w:tabs>
        <w:spacing w:after="0"/>
        <w:ind w:left="709" w:right="142" w:hanging="709"/>
        <w:jc w:val="right"/>
        <w:rPr>
          <w:b/>
          <w:bCs/>
          <w:spacing w:val="-4"/>
        </w:rPr>
      </w:pPr>
      <w:r w:rsidRPr="00062EA8">
        <w:t xml:space="preserve">                                                                                                                                »;                      </w:t>
      </w:r>
    </w:p>
    <w:p w:rsidR="00D707A5" w:rsidRDefault="00D707A5" w:rsidP="009F6EA2">
      <w:pPr>
        <w:pStyle w:val="Standard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62EA8">
        <w:rPr>
          <w:rFonts w:ascii="Times New Roman" w:hAnsi="Times New Roman" w:cs="Times New Roman"/>
          <w:sz w:val="24"/>
        </w:rPr>
        <w:t xml:space="preserve"> 4) таблицу 3 в Разделе </w:t>
      </w:r>
      <w:r w:rsidRPr="00062EA8">
        <w:rPr>
          <w:rFonts w:ascii="Times New Roman" w:hAnsi="Times New Roman" w:cs="Times New Roman"/>
          <w:sz w:val="24"/>
          <w:lang w:val="en-US"/>
        </w:rPr>
        <w:t>IX</w:t>
      </w:r>
      <w:r w:rsidRPr="00062EA8">
        <w:rPr>
          <w:rFonts w:ascii="Times New Roman" w:hAnsi="Times New Roman" w:cs="Times New Roman"/>
          <w:sz w:val="24"/>
        </w:rPr>
        <w:t>. приложения 1</w:t>
      </w:r>
      <w:r w:rsidRPr="00062EA8">
        <w:rPr>
          <w:rFonts w:ascii="Times New Roman" w:eastAsia="Times New Roman" w:hAnsi="Times New Roman" w:cs="Times New Roman"/>
          <w:bCs/>
          <w:spacing w:val="-4"/>
          <w:sz w:val="24"/>
        </w:rPr>
        <w:t xml:space="preserve"> к муниципальной программе </w:t>
      </w:r>
      <w:r w:rsidRPr="00062EA8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2 к  настоящему постановлению;</w:t>
      </w:r>
    </w:p>
    <w:p w:rsidR="00D707A5" w:rsidRPr="00062EA8" w:rsidRDefault="00D707A5" w:rsidP="009F6EA2">
      <w:pPr>
        <w:pStyle w:val="BodyText"/>
        <w:spacing w:after="0"/>
        <w:ind w:right="142"/>
        <w:jc w:val="both"/>
      </w:pPr>
      <w:r>
        <w:t xml:space="preserve">         </w:t>
      </w:r>
      <w:r w:rsidRPr="00062EA8">
        <w:t>2. Настоящее постановление подлежит опубликованию в установленном порядке.</w:t>
      </w:r>
    </w:p>
    <w:p w:rsidR="00D707A5" w:rsidRPr="00062EA8" w:rsidRDefault="00D707A5" w:rsidP="009F6EA2">
      <w:pPr>
        <w:pStyle w:val="BodyText"/>
        <w:spacing w:after="0"/>
        <w:ind w:right="142"/>
        <w:jc w:val="both"/>
      </w:pPr>
      <w:r>
        <w:t xml:space="preserve">         3.</w:t>
      </w:r>
      <w:r w:rsidRPr="00062EA8">
        <w:t>Контроль за выполнением настоящего постановления возложить на  заместителя Главы Притобольного муниципального округа Курганской области.</w:t>
      </w:r>
    </w:p>
    <w:p w:rsidR="00D707A5" w:rsidRPr="00062EA8" w:rsidRDefault="00D707A5" w:rsidP="00877BC7">
      <w:pPr>
        <w:pStyle w:val="BodyText"/>
        <w:spacing w:after="0"/>
        <w:jc w:val="both"/>
      </w:pPr>
    </w:p>
    <w:p w:rsidR="00D707A5" w:rsidRPr="00062EA8" w:rsidRDefault="00D707A5" w:rsidP="00877BC7">
      <w:pPr>
        <w:pStyle w:val="BodyText"/>
        <w:spacing w:after="0"/>
        <w:jc w:val="both"/>
      </w:pPr>
    </w:p>
    <w:p w:rsidR="00D707A5" w:rsidRPr="00062EA8" w:rsidRDefault="00D707A5" w:rsidP="00877BC7">
      <w:pPr>
        <w:pStyle w:val="BodyText"/>
        <w:spacing w:after="0"/>
        <w:jc w:val="both"/>
      </w:pPr>
    </w:p>
    <w:p w:rsidR="00D707A5" w:rsidRPr="00062EA8" w:rsidRDefault="00D707A5" w:rsidP="00877BC7">
      <w:pPr>
        <w:pStyle w:val="BodyText"/>
        <w:spacing w:after="0"/>
        <w:jc w:val="both"/>
      </w:pPr>
      <w:r w:rsidRPr="00062EA8">
        <w:t>Временно исполняющий</w:t>
      </w:r>
      <w:r>
        <w:t xml:space="preserve"> </w:t>
      </w:r>
      <w:r w:rsidRPr="00062EA8">
        <w:t>полномочия</w:t>
      </w:r>
    </w:p>
    <w:p w:rsidR="00D707A5" w:rsidRPr="00062EA8" w:rsidRDefault="00D707A5" w:rsidP="00877BC7">
      <w:pPr>
        <w:pStyle w:val="BodyText"/>
        <w:spacing w:after="0"/>
        <w:jc w:val="both"/>
      </w:pPr>
      <w:r w:rsidRPr="00062EA8">
        <w:t>Главы</w:t>
      </w:r>
      <w:r>
        <w:t xml:space="preserve"> </w:t>
      </w:r>
      <w:r w:rsidRPr="00062EA8">
        <w:t>Притобольного</w:t>
      </w:r>
      <w:r>
        <w:t xml:space="preserve"> </w:t>
      </w:r>
      <w:r w:rsidRPr="00062EA8">
        <w:t>муниципального</w:t>
      </w:r>
    </w:p>
    <w:p w:rsidR="00D707A5" w:rsidRPr="00062EA8" w:rsidRDefault="00D707A5" w:rsidP="00430C78">
      <w:pPr>
        <w:pStyle w:val="BodyText"/>
        <w:spacing w:after="0"/>
      </w:pPr>
      <w:r>
        <w:t>о</w:t>
      </w:r>
      <w:r w:rsidRPr="00062EA8">
        <w:t>круга</w:t>
      </w:r>
      <w:r>
        <w:t xml:space="preserve"> </w:t>
      </w:r>
      <w:r w:rsidRPr="00062EA8">
        <w:t>Курганской области</w:t>
      </w:r>
      <w:r>
        <w:t xml:space="preserve">                                                                            П.А.Санкин</w:t>
      </w:r>
    </w:p>
    <w:p w:rsidR="00D707A5" w:rsidRDefault="00D707A5" w:rsidP="00877BC7">
      <w:pPr>
        <w:ind w:left="709" w:hanging="709"/>
        <w:jc w:val="both"/>
        <w:sectPr w:rsidR="00D707A5" w:rsidSect="00074FA3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0A0"/>
      </w:tblPr>
      <w:tblGrid>
        <w:gridCol w:w="9747"/>
        <w:gridCol w:w="5245"/>
      </w:tblGrid>
      <w:tr w:rsidR="00D707A5" w:rsidTr="00772096">
        <w:tc>
          <w:tcPr>
            <w:tcW w:w="9747" w:type="dxa"/>
          </w:tcPr>
          <w:p w:rsidR="00D707A5" w:rsidRPr="00D15906" w:rsidRDefault="00D707A5" w:rsidP="00772096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5245" w:type="dxa"/>
          </w:tcPr>
          <w:p w:rsidR="00D707A5" w:rsidRPr="00D15906" w:rsidRDefault="00D707A5" w:rsidP="00772096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D15906">
              <w:rPr>
                <w:rFonts w:ascii="Times New Roman" w:hAnsi="Times New Roman" w:cs="Times New Roman"/>
                <w:bCs/>
                <w:sz w:val="24"/>
                <w:szCs w:val="22"/>
              </w:rPr>
              <w:t>Приложение 1</w:t>
            </w:r>
          </w:p>
          <w:p w:rsidR="00D707A5" w:rsidRPr="00AC7ECE" w:rsidRDefault="00D707A5" w:rsidP="00AC7ECE">
            <w:pPr>
              <w:jc w:val="both"/>
            </w:pPr>
            <w:r w:rsidRPr="00D15906">
              <w:t xml:space="preserve">к постановлению Администрации Притобольного муниципального округа Курганской области </w:t>
            </w:r>
            <w:r w:rsidRPr="00771DD5">
              <w:t>от 16 апреля 2025</w:t>
            </w:r>
            <w:r w:rsidRPr="00062EA8">
              <w:t xml:space="preserve"> года  №</w:t>
            </w:r>
            <w:r>
              <w:t xml:space="preserve"> 158 </w:t>
            </w:r>
            <w:r w:rsidRPr="00D15906">
              <w:t>«О внесении изменений в постановление Администрации Притобольного муниципального округа Курганской области  от 30.10.2023 г. № 108 «Об  утверждении муниципальной программы «Развитие образования в Притобольном муниципаль</w:t>
            </w:r>
            <w:r>
              <w:t xml:space="preserve">ном округе Курганской области» </w:t>
            </w:r>
            <w:r w:rsidRPr="00D15906">
              <w:t xml:space="preserve">на 2024-2026 годы»              </w:t>
            </w:r>
          </w:p>
        </w:tc>
      </w:tr>
    </w:tbl>
    <w:p w:rsidR="00D707A5" w:rsidRDefault="00D707A5" w:rsidP="00A1239C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D707A5" w:rsidRDefault="00D707A5" w:rsidP="00A1239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D707A5" w:rsidRPr="00423733" w:rsidRDefault="00D707A5" w:rsidP="00A1239C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733">
        <w:rPr>
          <w:rFonts w:ascii="Times New Roman" w:hAnsi="Times New Roman" w:cs="Times New Roman"/>
          <w:b/>
          <w:bCs/>
          <w:sz w:val="26"/>
          <w:szCs w:val="26"/>
        </w:rPr>
        <w:t>Таблица 3. Ресурсное обеспечение Программы</w:t>
      </w:r>
    </w:p>
    <w:p w:rsidR="00D707A5" w:rsidRDefault="00D707A5" w:rsidP="00A1239C">
      <w:pPr>
        <w:pStyle w:val="ConsPlusNormal"/>
        <w:jc w:val="center"/>
        <w:rPr>
          <w:szCs w:val="24"/>
        </w:rPr>
      </w:pPr>
    </w:p>
    <w:p w:rsidR="00D707A5" w:rsidRDefault="00D707A5" w:rsidP="00A1239C">
      <w:pPr>
        <w:pStyle w:val="ConsPlus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>3.1. Ресурсное обеспечение мероприятий  Программы</w:t>
      </w:r>
    </w:p>
    <w:tbl>
      <w:tblPr>
        <w:tblW w:w="14722" w:type="dxa"/>
        <w:tblInd w:w="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1962"/>
        <w:gridCol w:w="1275"/>
        <w:gridCol w:w="21"/>
        <w:gridCol w:w="1089"/>
        <w:gridCol w:w="10"/>
        <w:gridCol w:w="1412"/>
        <w:gridCol w:w="1390"/>
        <w:gridCol w:w="28"/>
        <w:gridCol w:w="12"/>
        <w:gridCol w:w="1264"/>
        <w:gridCol w:w="25"/>
        <w:gridCol w:w="1328"/>
        <w:gridCol w:w="23"/>
        <w:gridCol w:w="1476"/>
        <w:gridCol w:w="9"/>
        <w:gridCol w:w="1533"/>
        <w:gridCol w:w="27"/>
        <w:gridCol w:w="1279"/>
        <w:gridCol w:w="40"/>
      </w:tblGrid>
      <w:tr w:rsidR="00D707A5" w:rsidTr="00772096">
        <w:trPr>
          <w:gridAfter w:val="1"/>
          <w:wAfter w:w="40" w:type="dxa"/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Главный распорядитель средств муниципального бюджета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Источник финанси-рования</w:t>
            </w:r>
          </w:p>
        </w:tc>
        <w:tc>
          <w:tcPr>
            <w:tcW w:w="9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Объемы финансирования, тыс. рублей</w:t>
            </w:r>
          </w:p>
        </w:tc>
      </w:tr>
      <w:tr w:rsidR="00D707A5" w:rsidTr="00772096">
        <w:trPr>
          <w:gridAfter w:val="1"/>
          <w:wAfter w:w="40" w:type="dxa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83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годам:</w:t>
            </w:r>
          </w:p>
        </w:tc>
      </w:tr>
      <w:tr w:rsidR="00D707A5" w:rsidTr="00772096">
        <w:trPr>
          <w:gridAfter w:val="1"/>
          <w:wAfter w:w="40" w:type="dxa"/>
          <w:trHeight w:val="1234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</w:pPr>
            <w:r>
              <w:rPr>
                <w:szCs w:val="24"/>
              </w:rPr>
              <w:t xml:space="preserve">Задачи: </w:t>
            </w:r>
            <w:r>
              <w:rPr>
                <w:szCs w:val="24"/>
                <w:shd w:val="clear" w:color="auto" w:fill="FFFFFF"/>
              </w:rPr>
              <w:t>обеспечение доступности и качества образо</w:t>
            </w:r>
            <w:r>
              <w:rPr>
                <w:szCs w:val="24"/>
              </w:rPr>
              <w:t>вания посредством обновления содержания, технологий обучения и материально-</w:t>
            </w:r>
            <w:r>
              <w:rPr>
                <w:bCs/>
                <w:szCs w:val="24"/>
              </w:rPr>
              <w:t>технической базы</w:t>
            </w:r>
            <w:r>
              <w:rPr>
                <w:szCs w:val="24"/>
              </w:rPr>
              <w:t>, в том числе за счет создания дополнительных мест</w:t>
            </w:r>
          </w:p>
          <w:p w:rsidR="00D707A5" w:rsidRDefault="00D707A5" w:rsidP="00772096">
            <w:pPr>
              <w:pStyle w:val="ConsPlusNormal"/>
              <w:jc w:val="both"/>
            </w:pPr>
            <w:r>
              <w:rPr>
                <w:szCs w:val="24"/>
              </w:rPr>
              <w:t xml:space="preserve">Целевые индикаторы:  </w:t>
            </w:r>
            <w:r>
              <w:rPr>
                <w:rFonts w:eastAsia="Arial Unicode MS"/>
                <w:bCs/>
                <w:color w:val="000000"/>
                <w:szCs w:val="24"/>
                <w:shd w:val="clear" w:color="auto" w:fill="FFFFFF"/>
              </w:rPr>
              <w:t>1, 2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подпрограммы «Развитие общего образования»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1107711,8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387305,8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418458,4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301947,6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bCs/>
                <w:color w:val="000000"/>
                <w:szCs w:val="24"/>
              </w:rPr>
              <w:t>с</w:t>
            </w:r>
            <w:r>
              <w:rPr>
                <w:bCs/>
                <w:szCs w:val="24"/>
              </w:rPr>
              <w:t xml:space="preserve">оздание единого воспитательного пространства, развивающего потенциал сфер воспитания и дополнительного образования, </w:t>
            </w:r>
            <w:r>
              <w:rPr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детей.   </w:t>
            </w:r>
          </w:p>
          <w:p w:rsidR="00D707A5" w:rsidRDefault="00D707A5" w:rsidP="00772096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3,4,</w:t>
            </w:r>
            <w:r>
              <w:rPr>
                <w:color w:val="000000"/>
                <w:szCs w:val="24"/>
                <w:shd w:val="clear" w:color="auto" w:fill="FFFFFF"/>
              </w:rPr>
              <w:t>5, 6</w:t>
            </w:r>
          </w:p>
        </w:tc>
      </w:tr>
      <w:tr w:rsidR="00D707A5" w:rsidTr="00772096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7A5" w:rsidRDefault="00D707A5" w:rsidP="00772096"/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5" w:rsidRPr="00742001" w:rsidRDefault="00D707A5" w:rsidP="00772096">
            <w:r w:rsidRPr="00742001">
              <w:t>Меры социальной поддержки 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5" w:rsidRDefault="00D707A5" w:rsidP="00772096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7A5" w:rsidRPr="00B02226" w:rsidRDefault="00D707A5" w:rsidP="00772096">
            <w:r>
              <w:t>803,4</w:t>
            </w:r>
          </w:p>
          <w:p w:rsidR="00D707A5" w:rsidRPr="00B02226" w:rsidRDefault="00D707A5" w:rsidP="00772096">
            <w:bookmarkStart w:id="0" w:name="_GoBack"/>
            <w:bookmarkEnd w:id="0"/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7A5" w:rsidRPr="00B02226" w:rsidRDefault="00D707A5" w:rsidP="00772096"/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7A5" w:rsidRPr="00B02226" w:rsidRDefault="00D707A5" w:rsidP="00772096"/>
        </w:tc>
        <w:tc>
          <w:tcPr>
            <w:tcW w:w="13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7A5" w:rsidRPr="00B02226" w:rsidRDefault="00D707A5" w:rsidP="00772096"/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7A5" w:rsidRPr="00B02226" w:rsidRDefault="00D707A5" w:rsidP="00772096">
            <w:r>
              <w:t>267,8</w:t>
            </w:r>
          </w:p>
          <w:p w:rsidR="00D707A5" w:rsidRPr="00B02226" w:rsidRDefault="00D707A5" w:rsidP="00772096"/>
          <w:p w:rsidR="00D707A5" w:rsidRPr="00B02226" w:rsidRDefault="00D707A5" w:rsidP="00772096"/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7A5" w:rsidRPr="00B02226" w:rsidRDefault="00D707A5" w:rsidP="00772096">
            <w:r>
              <w:t>267,8</w:t>
            </w:r>
          </w:p>
          <w:p w:rsidR="00D707A5" w:rsidRPr="00B02226" w:rsidRDefault="00D707A5" w:rsidP="00772096"/>
          <w:p w:rsidR="00D707A5" w:rsidRPr="00B02226" w:rsidRDefault="00D707A5" w:rsidP="00772096"/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7A5" w:rsidRPr="00B02226" w:rsidRDefault="00D707A5" w:rsidP="00772096">
            <w:r>
              <w:t>267,8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 xml:space="preserve">Мероприятия подпрограммы </w:t>
            </w:r>
            <w:r>
              <w:rPr>
                <w:szCs w:val="24"/>
              </w:rPr>
              <w:t xml:space="preserve">«Реализация воспитательной работы и дополнительного образования детей  в Притобольном муниципальном округе Курганской области»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111981,8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36944,9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37409,8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37627,1</w:t>
            </w:r>
          </w:p>
        </w:tc>
      </w:tr>
      <w:tr w:rsidR="00D707A5" w:rsidTr="00772096">
        <w:trPr>
          <w:gridAfter w:val="1"/>
          <w:wAfter w:w="40" w:type="dxa"/>
          <w:trHeight w:val="95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bCs/>
                <w:color w:val="000000"/>
                <w:szCs w:val="24"/>
              </w:rPr>
              <w:t>обеспечение внедрения национальной системы профессионального роста педагогических работников,</w:t>
            </w:r>
            <w:r>
              <w:rPr>
                <w:bCs/>
                <w:szCs w:val="24"/>
              </w:rPr>
              <w:t xml:space="preserve">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  <w:p w:rsidR="00D707A5" w:rsidRDefault="00D707A5" w:rsidP="00772096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Целевой индикатор: </w:t>
            </w:r>
            <w:r>
              <w:rPr>
                <w:bCs/>
                <w:szCs w:val="24"/>
              </w:rPr>
              <w:t>7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подпрограммы «Кадровое обеспечение системы образования Притобольного муниципального округа Курганской области»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575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150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Задачи:</w:t>
            </w:r>
            <w:r>
              <w:rPr>
                <w:bCs/>
                <w:szCs w:val="24"/>
              </w:rPr>
              <w:t>обеспечение эффективного управления государственными финансами в сфере образования Притобольного муниципального округа Курганской области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Обеспечение внедрения  национальной системы профессионального роста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41337,5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12712,5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12712,5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15912,5</w:t>
            </w: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Проведение районных конференций руководителей 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707A5" w:rsidTr="00772096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Реализация прочих мероприятий в сфере образования, в том числе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ind w:left="60" w:right="-15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707A5" w:rsidTr="00772096">
        <w:trPr>
          <w:gridAfter w:val="1"/>
          <w:wAfter w:w="40" w:type="dxa"/>
        </w:trPr>
        <w:tc>
          <w:tcPr>
            <w:tcW w:w="4876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both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1262409,5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Default="00D707A5" w:rsidP="00772096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437381</w:t>
            </w:r>
          </w:p>
        </w:tc>
        <w:tc>
          <w:tcPr>
            <w:tcW w:w="1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Pr="00742001" w:rsidRDefault="00D707A5" w:rsidP="00772096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469123,5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7A5" w:rsidRPr="00742001" w:rsidRDefault="00D707A5" w:rsidP="00772096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355905</w:t>
            </w:r>
          </w:p>
        </w:tc>
      </w:tr>
    </w:tbl>
    <w:p w:rsidR="00D707A5" w:rsidRDefault="00D707A5" w:rsidP="00A1239C">
      <w:pPr>
        <w:pStyle w:val="ConsPlusNormal"/>
        <w:spacing w:line="261" w:lineRule="exact"/>
        <w:jc w:val="both"/>
        <w:rPr>
          <w:szCs w:val="24"/>
        </w:rPr>
      </w:pPr>
      <w:r>
        <w:rPr>
          <w:szCs w:val="24"/>
        </w:rPr>
        <w:t xml:space="preserve">          Примечания:</w:t>
      </w:r>
    </w:p>
    <w:p w:rsidR="00D707A5" w:rsidRDefault="00D707A5" w:rsidP="00A1239C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>Информация о финансировании в рамках подпрограммы «Развитие общего образования» приведена в таблице 3 приложения 1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D707A5" w:rsidRDefault="00D707A5" w:rsidP="00A1239C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>Информация о финансировании в рамках подпрограммы «Реализация воспитательной работы и дополнительного образования детей  в Притобольном муниципальном округе Курганской области» на 2024-2026 годы приведена в таблице 3 приложения 2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D707A5" w:rsidRDefault="00D707A5" w:rsidP="00A1239C"/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tbl>
      <w:tblPr>
        <w:tblStyle w:val="TableGrid"/>
        <w:tblW w:w="0" w:type="auto"/>
        <w:tblInd w:w="9468" w:type="dxa"/>
        <w:tblLook w:val="01E0"/>
      </w:tblPr>
      <w:tblGrid>
        <w:gridCol w:w="5318"/>
      </w:tblGrid>
      <w:tr w:rsidR="00D707A5" w:rsidTr="00074FA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D707A5" w:rsidRPr="00074FA3" w:rsidRDefault="00D707A5" w:rsidP="00074FA3">
            <w:pPr>
              <w:pStyle w:val="NormalWeb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FA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D707A5" w:rsidRPr="00074FA3" w:rsidRDefault="00D707A5" w:rsidP="00074FA3">
            <w:pPr>
              <w:pStyle w:val="NormalWeb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FA3">
              <w:rPr>
                <w:rFonts w:ascii="Times New Roman" w:hAnsi="Times New Roman"/>
                <w:sz w:val="24"/>
                <w:szCs w:val="24"/>
              </w:rPr>
              <w:t>к постановлению Администрации Притобольного муниципального округа Курганской от 16 апреля 2025 года  № 158 «О внесении изменений в постановление Администрации Притобольного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F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от 30.10.2023 г. № 108 «Об утверждении муниципальной программы «Развитие образования в Притобольном муниципальном округе Курганской области» на 2024-2026 годы»</w:t>
            </w:r>
          </w:p>
        </w:tc>
      </w:tr>
    </w:tbl>
    <w:p w:rsidR="00D707A5" w:rsidRPr="00074FA3" w:rsidRDefault="00D707A5" w:rsidP="00074FA3">
      <w:pPr>
        <w:widowControl/>
        <w:suppressAutoHyphens w:val="0"/>
        <w:spacing w:before="100" w:beforeAutospacing="1" w:line="363" w:lineRule="atLeast"/>
        <w:jc w:val="center"/>
        <w:rPr>
          <w:kern w:val="0"/>
        </w:rPr>
      </w:pPr>
    </w:p>
    <w:p w:rsidR="00D707A5" w:rsidRPr="00074FA3" w:rsidRDefault="00D707A5" w:rsidP="00074FA3">
      <w:pPr>
        <w:widowControl/>
        <w:suppressAutoHyphens w:val="0"/>
        <w:spacing w:before="100" w:beforeAutospacing="1"/>
        <w:ind w:firstLine="709"/>
        <w:jc w:val="center"/>
        <w:rPr>
          <w:kern w:val="0"/>
        </w:rPr>
      </w:pPr>
      <w:r w:rsidRPr="00074FA3">
        <w:rPr>
          <w:b/>
          <w:bCs/>
          <w:color w:val="000000"/>
          <w:kern w:val="0"/>
          <w:shd w:val="clear" w:color="auto" w:fill="FFFFFF"/>
        </w:rPr>
        <w:t>Таблица 3. Ресурсное обеспечение реализации Подпрограммы</w:t>
      </w:r>
    </w:p>
    <w:p w:rsidR="00D707A5" w:rsidRPr="00074FA3" w:rsidRDefault="00D707A5" w:rsidP="00074FA3">
      <w:pPr>
        <w:widowControl/>
        <w:suppressAutoHyphens w:val="0"/>
        <w:spacing w:before="100" w:beforeAutospacing="1"/>
        <w:jc w:val="center"/>
        <w:rPr>
          <w:kern w:val="0"/>
        </w:rPr>
      </w:pPr>
    </w:p>
    <w:tbl>
      <w:tblPr>
        <w:tblW w:w="14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4"/>
        <w:gridCol w:w="2532"/>
        <w:gridCol w:w="1867"/>
        <w:gridCol w:w="1867"/>
        <w:gridCol w:w="1264"/>
        <w:gridCol w:w="878"/>
        <w:gridCol w:w="902"/>
        <w:gridCol w:w="1074"/>
        <w:gridCol w:w="1074"/>
        <w:gridCol w:w="1074"/>
        <w:gridCol w:w="1544"/>
      </w:tblGrid>
      <w:tr w:rsidR="00D707A5" w:rsidRPr="00074FA3" w:rsidTr="00074FA3">
        <w:trPr>
          <w:tblHeader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3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Главный распорядитель средств муниципального бюджета</w:t>
            </w:r>
          </w:p>
        </w:tc>
        <w:tc>
          <w:tcPr>
            <w:tcW w:w="1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Источник финасирования</w:t>
            </w:r>
          </w:p>
        </w:tc>
        <w:tc>
          <w:tcPr>
            <w:tcW w:w="83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Объемы финансирования, тыс. рублей</w:t>
            </w:r>
          </w:p>
        </w:tc>
      </w:tr>
      <w:tr w:rsidR="00D707A5" w:rsidRPr="00074FA3" w:rsidTr="00074FA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Всего</w:t>
            </w:r>
          </w:p>
        </w:tc>
        <w:tc>
          <w:tcPr>
            <w:tcW w:w="69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в том числе по годам:</w:t>
            </w:r>
          </w:p>
        </w:tc>
      </w:tr>
      <w:tr w:rsidR="00D707A5" w:rsidRPr="00074FA3" w:rsidTr="00074FA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2024</w:t>
            </w:r>
          </w:p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год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2025</w:t>
            </w:r>
          </w:p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год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2026</w:t>
            </w:r>
          </w:p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год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2027</w:t>
            </w:r>
          </w:p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год</w:t>
            </w:r>
          </w:p>
        </w:tc>
      </w:tr>
      <w:tr w:rsidR="00D707A5" w:rsidRPr="00074FA3" w:rsidTr="00074FA3">
        <w:trPr>
          <w:tblCellSpacing w:w="0" w:type="dxa"/>
        </w:trPr>
        <w:tc>
          <w:tcPr>
            <w:tcW w:w="14400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Задача 1. Формирование образовательной сети и финансово-экономических механизмов, обеспечивающих равный доступ населения Притобольного МО к услугам общего образования</w:t>
            </w:r>
          </w:p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Целевые индикаторы: № 1,2</w:t>
            </w: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3.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4.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Мероприятия по благоустройству зданий государственных и муниципальных общеобразовательных организаци 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rHeight w:val="1155"/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5.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6.</w:t>
            </w:r>
          </w:p>
        </w:tc>
        <w:tc>
          <w:tcPr>
            <w:tcW w:w="2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281373,9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105450,9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113186,8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62736,2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7A5" w:rsidRPr="00074FA3" w:rsidRDefault="00D707A5" w:rsidP="00074F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7.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12754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6377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6377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8.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15533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5246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5491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4796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9.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12715,8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kern w:val="0"/>
              </w:rPr>
              <w:t>6784,8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kern w:val="0"/>
              </w:rPr>
              <w:t>5931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10.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2100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700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700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700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14400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Задача 2.</w:t>
            </w:r>
            <w:r w:rsidRPr="00074FA3">
              <w:rPr>
                <w:color w:val="000000"/>
                <w:kern w:val="0"/>
              </w:rPr>
              <w:t xml:space="preserve">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 xml:space="preserve">Целевые индикаторы: </w:t>
            </w:r>
            <w:r w:rsidRPr="00074FA3">
              <w:rPr>
                <w:color w:val="000000"/>
                <w:kern w:val="0"/>
              </w:rPr>
              <w:t>3, 4,5</w:t>
            </w: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11.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142825,6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50781,1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46159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45885,5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12.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Участие во Всероссийских, межрегиональных, региональных конкурсах, фестивалях, семинарах, конференциях, съездах в сфере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13.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604651,9</w:t>
            </w:r>
          </w:p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199746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217076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187829,9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14.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Финансовое обеспечение получения начального общего, основного общего, среднего общего образования в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15.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  <w:shd w:val="clear" w:color="auto" w:fill="FFFFFF"/>
              </w:rPr>
              <w:t>35755,6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12218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23537,6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</w:tr>
      <w:tr w:rsidR="00D707A5" w:rsidRPr="00074FA3" w:rsidTr="00074FA3">
        <w:trPr>
          <w:trHeight w:val="150"/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16.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17.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18.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Поддержка обучающихся, проявивших выдающиеся способности и/или добившихся успехов в учебной, научной (научно-исследовательской), творческой и физкультурно-спортивной деятельности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19.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в региональном и заключительном этапе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20.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Вручение премий Главы Притобольного МО для детей, проявивших выдающиеся способности в области образования, искусства и спорта.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0</w:t>
            </w: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>21.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Профилактика социального неблагополучия семей с детьми, защита прав и интересов детей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22.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Проведение муниципальных, региональных, межрегиональных мероприятий в сфере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color w:val="000000"/>
                <w:kern w:val="0"/>
              </w:rPr>
              <w:t xml:space="preserve">Бюджет Притобольного </w:t>
            </w:r>
            <w:r w:rsidRPr="00074FA3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D707A5" w:rsidRPr="00074FA3" w:rsidTr="00074FA3">
        <w:trPr>
          <w:tblCellSpacing w:w="0" w:type="dxa"/>
        </w:trPr>
        <w:tc>
          <w:tcPr>
            <w:tcW w:w="5910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Всего: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ind w:right="-62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1107711,8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ind w:right="-51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ind w:right="-74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074FA3">
              <w:rPr>
                <w:b/>
                <w:bCs/>
                <w:color w:val="000000"/>
                <w:kern w:val="0"/>
              </w:rPr>
              <w:t>387305,8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418458,4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074FA3">
              <w:rPr>
                <w:b/>
                <w:bCs/>
                <w:color w:val="000000"/>
                <w:kern w:val="0"/>
                <w:lang w:val="en-US"/>
              </w:rPr>
              <w:t>301947,6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707A5" w:rsidRPr="00074FA3" w:rsidRDefault="00D707A5" w:rsidP="00074FA3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</w:tr>
    </w:tbl>
    <w:p w:rsidR="00D707A5" w:rsidRPr="00074FA3" w:rsidRDefault="00D707A5" w:rsidP="00074FA3">
      <w:pPr>
        <w:widowControl/>
        <w:suppressAutoHyphens w:val="0"/>
        <w:spacing w:before="100" w:beforeAutospacing="1"/>
        <w:rPr>
          <w:kern w:val="0"/>
        </w:rPr>
      </w:pPr>
      <w:r w:rsidRPr="00074FA3">
        <w:rPr>
          <w:color w:val="000000"/>
          <w:kern w:val="0"/>
        </w:rPr>
        <w:t>* Финансовое обеспечение Подпрограммы будет осуществляться при формировании муниципального бюджета на соответствующий финансовый год и плановый период.</w:t>
      </w:r>
    </w:p>
    <w:p w:rsidR="00D707A5" w:rsidRPr="00062EA8" w:rsidRDefault="00D707A5" w:rsidP="000860C8">
      <w:pPr>
        <w:pStyle w:val="NoSpacing"/>
        <w:rPr>
          <w:sz w:val="28"/>
          <w:szCs w:val="28"/>
        </w:rPr>
      </w:pPr>
    </w:p>
    <w:sectPr w:rsidR="00D707A5" w:rsidRPr="00062EA8" w:rsidSect="00A1239C">
      <w:pgSz w:w="16838" w:h="11906" w:orient="landscape"/>
      <w:pgMar w:top="9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A5" w:rsidRDefault="00D707A5" w:rsidP="000F3E1D">
      <w:r>
        <w:separator/>
      </w:r>
    </w:p>
  </w:endnote>
  <w:endnote w:type="continuationSeparator" w:id="0">
    <w:p w:rsidR="00D707A5" w:rsidRDefault="00D707A5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A5" w:rsidRDefault="00D707A5" w:rsidP="000F3E1D">
      <w:r>
        <w:separator/>
      </w:r>
    </w:p>
  </w:footnote>
  <w:footnote w:type="continuationSeparator" w:id="0">
    <w:p w:rsidR="00D707A5" w:rsidRDefault="00D707A5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7E86DCF"/>
    <w:multiLevelType w:val="hybridMultilevel"/>
    <w:tmpl w:val="19C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9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C7A"/>
    <w:rsid w:val="00011BED"/>
    <w:rsid w:val="00020862"/>
    <w:rsid w:val="00026FBC"/>
    <w:rsid w:val="00030244"/>
    <w:rsid w:val="00032597"/>
    <w:rsid w:val="000378A1"/>
    <w:rsid w:val="00045091"/>
    <w:rsid w:val="0004609E"/>
    <w:rsid w:val="000473B4"/>
    <w:rsid w:val="00051629"/>
    <w:rsid w:val="000520DC"/>
    <w:rsid w:val="00055225"/>
    <w:rsid w:val="0005797E"/>
    <w:rsid w:val="00060777"/>
    <w:rsid w:val="00060A82"/>
    <w:rsid w:val="00062EA8"/>
    <w:rsid w:val="000630BF"/>
    <w:rsid w:val="00071F04"/>
    <w:rsid w:val="00074FA3"/>
    <w:rsid w:val="000860C8"/>
    <w:rsid w:val="00087B83"/>
    <w:rsid w:val="00092319"/>
    <w:rsid w:val="000B1211"/>
    <w:rsid w:val="000B5F11"/>
    <w:rsid w:val="000B7DCB"/>
    <w:rsid w:val="000C0BC1"/>
    <w:rsid w:val="000C47EB"/>
    <w:rsid w:val="000D110B"/>
    <w:rsid w:val="000D37DE"/>
    <w:rsid w:val="000D6EB1"/>
    <w:rsid w:val="000E56AA"/>
    <w:rsid w:val="000E5ADB"/>
    <w:rsid w:val="000F37F7"/>
    <w:rsid w:val="000F3E1D"/>
    <w:rsid w:val="000F5B43"/>
    <w:rsid w:val="00103AB2"/>
    <w:rsid w:val="0010547D"/>
    <w:rsid w:val="00120989"/>
    <w:rsid w:val="00134776"/>
    <w:rsid w:val="00145B35"/>
    <w:rsid w:val="001516EA"/>
    <w:rsid w:val="00185507"/>
    <w:rsid w:val="00191B1C"/>
    <w:rsid w:val="001A1751"/>
    <w:rsid w:val="001A7E69"/>
    <w:rsid w:val="001C0053"/>
    <w:rsid w:val="001D14DC"/>
    <w:rsid w:val="00201318"/>
    <w:rsid w:val="002020BF"/>
    <w:rsid w:val="002047B4"/>
    <w:rsid w:val="00213F9A"/>
    <w:rsid w:val="00223CF6"/>
    <w:rsid w:val="00226F9F"/>
    <w:rsid w:val="0022724D"/>
    <w:rsid w:val="00231806"/>
    <w:rsid w:val="00255EE8"/>
    <w:rsid w:val="00256DE0"/>
    <w:rsid w:val="00257BB4"/>
    <w:rsid w:val="002652C0"/>
    <w:rsid w:val="002708AF"/>
    <w:rsid w:val="00271376"/>
    <w:rsid w:val="00272911"/>
    <w:rsid w:val="00283AFA"/>
    <w:rsid w:val="00286A4A"/>
    <w:rsid w:val="002A1C30"/>
    <w:rsid w:val="002A5474"/>
    <w:rsid w:val="002A5F61"/>
    <w:rsid w:val="002A6902"/>
    <w:rsid w:val="002C077B"/>
    <w:rsid w:val="002C3E75"/>
    <w:rsid w:val="002D280C"/>
    <w:rsid w:val="002D3C3F"/>
    <w:rsid w:val="002E0176"/>
    <w:rsid w:val="002F2EAE"/>
    <w:rsid w:val="003003F9"/>
    <w:rsid w:val="0030501B"/>
    <w:rsid w:val="00311CA9"/>
    <w:rsid w:val="003165B4"/>
    <w:rsid w:val="003177A7"/>
    <w:rsid w:val="00332D70"/>
    <w:rsid w:val="00333C31"/>
    <w:rsid w:val="003354E8"/>
    <w:rsid w:val="00336103"/>
    <w:rsid w:val="00351528"/>
    <w:rsid w:val="00353BD2"/>
    <w:rsid w:val="0036342A"/>
    <w:rsid w:val="00391672"/>
    <w:rsid w:val="0039211B"/>
    <w:rsid w:val="003A18F5"/>
    <w:rsid w:val="003A55A1"/>
    <w:rsid w:val="003B6DE7"/>
    <w:rsid w:val="003D5A33"/>
    <w:rsid w:val="003E74F7"/>
    <w:rsid w:val="003F0574"/>
    <w:rsid w:val="003F1332"/>
    <w:rsid w:val="003F1E6D"/>
    <w:rsid w:val="00406808"/>
    <w:rsid w:val="004116E4"/>
    <w:rsid w:val="0041439B"/>
    <w:rsid w:val="004146CF"/>
    <w:rsid w:val="00415EEC"/>
    <w:rsid w:val="00417ADE"/>
    <w:rsid w:val="00423733"/>
    <w:rsid w:val="004304CC"/>
    <w:rsid w:val="00430C78"/>
    <w:rsid w:val="00446895"/>
    <w:rsid w:val="00455336"/>
    <w:rsid w:val="00460F0C"/>
    <w:rsid w:val="00470E3D"/>
    <w:rsid w:val="00470EC9"/>
    <w:rsid w:val="004739AF"/>
    <w:rsid w:val="0048273C"/>
    <w:rsid w:val="00495C33"/>
    <w:rsid w:val="004A1A04"/>
    <w:rsid w:val="004A6BD6"/>
    <w:rsid w:val="004B36CE"/>
    <w:rsid w:val="004C4DE8"/>
    <w:rsid w:val="004C5569"/>
    <w:rsid w:val="004C75B3"/>
    <w:rsid w:val="004D2EC0"/>
    <w:rsid w:val="004D3C1E"/>
    <w:rsid w:val="004E6506"/>
    <w:rsid w:val="0050475C"/>
    <w:rsid w:val="005052F2"/>
    <w:rsid w:val="00507986"/>
    <w:rsid w:val="005133F6"/>
    <w:rsid w:val="00515969"/>
    <w:rsid w:val="0051647E"/>
    <w:rsid w:val="0052140C"/>
    <w:rsid w:val="0053022C"/>
    <w:rsid w:val="00533804"/>
    <w:rsid w:val="005420A0"/>
    <w:rsid w:val="00545DF9"/>
    <w:rsid w:val="00551C5B"/>
    <w:rsid w:val="00552896"/>
    <w:rsid w:val="00557D05"/>
    <w:rsid w:val="00562550"/>
    <w:rsid w:val="00563A4A"/>
    <w:rsid w:val="005706CD"/>
    <w:rsid w:val="00571F36"/>
    <w:rsid w:val="00582EBA"/>
    <w:rsid w:val="0058663B"/>
    <w:rsid w:val="00587E3E"/>
    <w:rsid w:val="005A5F59"/>
    <w:rsid w:val="005A713D"/>
    <w:rsid w:val="005A77E5"/>
    <w:rsid w:val="005A7806"/>
    <w:rsid w:val="005B0355"/>
    <w:rsid w:val="005B194A"/>
    <w:rsid w:val="005B30BD"/>
    <w:rsid w:val="005C1559"/>
    <w:rsid w:val="005C3EAE"/>
    <w:rsid w:val="005C5773"/>
    <w:rsid w:val="005D1129"/>
    <w:rsid w:val="005E2795"/>
    <w:rsid w:val="00612B63"/>
    <w:rsid w:val="00623943"/>
    <w:rsid w:val="006324F6"/>
    <w:rsid w:val="006403AB"/>
    <w:rsid w:val="00646CF6"/>
    <w:rsid w:val="00647156"/>
    <w:rsid w:val="0065074E"/>
    <w:rsid w:val="00664416"/>
    <w:rsid w:val="0066558B"/>
    <w:rsid w:val="00667001"/>
    <w:rsid w:val="006763AE"/>
    <w:rsid w:val="00687463"/>
    <w:rsid w:val="00694523"/>
    <w:rsid w:val="006A3474"/>
    <w:rsid w:val="006A3A30"/>
    <w:rsid w:val="006A4957"/>
    <w:rsid w:val="006A7EC3"/>
    <w:rsid w:val="006D512D"/>
    <w:rsid w:val="006E16E3"/>
    <w:rsid w:val="006E7264"/>
    <w:rsid w:val="007070B3"/>
    <w:rsid w:val="007070F2"/>
    <w:rsid w:val="00712642"/>
    <w:rsid w:val="00712BE7"/>
    <w:rsid w:val="00724F71"/>
    <w:rsid w:val="00730427"/>
    <w:rsid w:val="00732B1A"/>
    <w:rsid w:val="00734740"/>
    <w:rsid w:val="00742001"/>
    <w:rsid w:val="00742517"/>
    <w:rsid w:val="00743BFC"/>
    <w:rsid w:val="007513A5"/>
    <w:rsid w:val="00756893"/>
    <w:rsid w:val="00757372"/>
    <w:rsid w:val="00757D0B"/>
    <w:rsid w:val="00764758"/>
    <w:rsid w:val="00764C6D"/>
    <w:rsid w:val="00771DD5"/>
    <w:rsid w:val="00772096"/>
    <w:rsid w:val="0078100A"/>
    <w:rsid w:val="00781B89"/>
    <w:rsid w:val="007841D9"/>
    <w:rsid w:val="00792126"/>
    <w:rsid w:val="007A2EF3"/>
    <w:rsid w:val="007B78B1"/>
    <w:rsid w:val="007C0654"/>
    <w:rsid w:val="007C6CB6"/>
    <w:rsid w:val="007C7A1F"/>
    <w:rsid w:val="007E5A25"/>
    <w:rsid w:val="007E69CE"/>
    <w:rsid w:val="007E7F05"/>
    <w:rsid w:val="00811768"/>
    <w:rsid w:val="00811C64"/>
    <w:rsid w:val="008160EB"/>
    <w:rsid w:val="00817146"/>
    <w:rsid w:val="00831CB4"/>
    <w:rsid w:val="00842EC0"/>
    <w:rsid w:val="00843DFA"/>
    <w:rsid w:val="008514BB"/>
    <w:rsid w:val="00864A60"/>
    <w:rsid w:val="00872A66"/>
    <w:rsid w:val="00877BC7"/>
    <w:rsid w:val="00880C2D"/>
    <w:rsid w:val="00887427"/>
    <w:rsid w:val="00896595"/>
    <w:rsid w:val="008976B6"/>
    <w:rsid w:val="008A1F52"/>
    <w:rsid w:val="008A4153"/>
    <w:rsid w:val="008A7E7F"/>
    <w:rsid w:val="008B4A5E"/>
    <w:rsid w:val="008B7751"/>
    <w:rsid w:val="008C4E10"/>
    <w:rsid w:val="008C5824"/>
    <w:rsid w:val="008E1979"/>
    <w:rsid w:val="008F5202"/>
    <w:rsid w:val="00901498"/>
    <w:rsid w:val="00902D59"/>
    <w:rsid w:val="00905553"/>
    <w:rsid w:val="00920F0C"/>
    <w:rsid w:val="00931BE5"/>
    <w:rsid w:val="00936331"/>
    <w:rsid w:val="00944AEA"/>
    <w:rsid w:val="00952FB9"/>
    <w:rsid w:val="00954023"/>
    <w:rsid w:val="00956099"/>
    <w:rsid w:val="00967EA0"/>
    <w:rsid w:val="00972DD1"/>
    <w:rsid w:val="00973902"/>
    <w:rsid w:val="009A0B78"/>
    <w:rsid w:val="009A72F1"/>
    <w:rsid w:val="009B4A6F"/>
    <w:rsid w:val="009C09C1"/>
    <w:rsid w:val="009D2506"/>
    <w:rsid w:val="009E4E64"/>
    <w:rsid w:val="009E754E"/>
    <w:rsid w:val="009F6624"/>
    <w:rsid w:val="009F6EA2"/>
    <w:rsid w:val="00A1239C"/>
    <w:rsid w:val="00A212E0"/>
    <w:rsid w:val="00A2337D"/>
    <w:rsid w:val="00A31F04"/>
    <w:rsid w:val="00A32528"/>
    <w:rsid w:val="00A74075"/>
    <w:rsid w:val="00A817D3"/>
    <w:rsid w:val="00A82348"/>
    <w:rsid w:val="00A85F4C"/>
    <w:rsid w:val="00AA619F"/>
    <w:rsid w:val="00AB22CB"/>
    <w:rsid w:val="00AC10C2"/>
    <w:rsid w:val="00AC213D"/>
    <w:rsid w:val="00AC2A18"/>
    <w:rsid w:val="00AC54FC"/>
    <w:rsid w:val="00AC61FD"/>
    <w:rsid w:val="00AC7B97"/>
    <w:rsid w:val="00AC7ECE"/>
    <w:rsid w:val="00AD0887"/>
    <w:rsid w:val="00AE518E"/>
    <w:rsid w:val="00AF3830"/>
    <w:rsid w:val="00B02226"/>
    <w:rsid w:val="00B07F64"/>
    <w:rsid w:val="00B17264"/>
    <w:rsid w:val="00B2052E"/>
    <w:rsid w:val="00B23B31"/>
    <w:rsid w:val="00B51FDB"/>
    <w:rsid w:val="00B60995"/>
    <w:rsid w:val="00B70B49"/>
    <w:rsid w:val="00B732B2"/>
    <w:rsid w:val="00B733AE"/>
    <w:rsid w:val="00B76D57"/>
    <w:rsid w:val="00B76EA7"/>
    <w:rsid w:val="00B77441"/>
    <w:rsid w:val="00B97D31"/>
    <w:rsid w:val="00BA79C6"/>
    <w:rsid w:val="00BB576C"/>
    <w:rsid w:val="00BD2938"/>
    <w:rsid w:val="00BD4919"/>
    <w:rsid w:val="00BF5C10"/>
    <w:rsid w:val="00BF62D2"/>
    <w:rsid w:val="00BF6B04"/>
    <w:rsid w:val="00C022FF"/>
    <w:rsid w:val="00C102EA"/>
    <w:rsid w:val="00C12201"/>
    <w:rsid w:val="00C14357"/>
    <w:rsid w:val="00C362CC"/>
    <w:rsid w:val="00C666C7"/>
    <w:rsid w:val="00C74DA1"/>
    <w:rsid w:val="00C80DD2"/>
    <w:rsid w:val="00C945D4"/>
    <w:rsid w:val="00CA3478"/>
    <w:rsid w:val="00CB0012"/>
    <w:rsid w:val="00CB39AD"/>
    <w:rsid w:val="00CB49C0"/>
    <w:rsid w:val="00CB77BD"/>
    <w:rsid w:val="00CC1EB0"/>
    <w:rsid w:val="00CC5456"/>
    <w:rsid w:val="00CE1AB7"/>
    <w:rsid w:val="00CE50AB"/>
    <w:rsid w:val="00CE7885"/>
    <w:rsid w:val="00CF582A"/>
    <w:rsid w:val="00D06686"/>
    <w:rsid w:val="00D06EA7"/>
    <w:rsid w:val="00D15906"/>
    <w:rsid w:val="00D16603"/>
    <w:rsid w:val="00D23A4B"/>
    <w:rsid w:val="00D25ED2"/>
    <w:rsid w:val="00D44687"/>
    <w:rsid w:val="00D44A6E"/>
    <w:rsid w:val="00D47351"/>
    <w:rsid w:val="00D53152"/>
    <w:rsid w:val="00D6555C"/>
    <w:rsid w:val="00D707A5"/>
    <w:rsid w:val="00D76C97"/>
    <w:rsid w:val="00D8366D"/>
    <w:rsid w:val="00DA5350"/>
    <w:rsid w:val="00DC3D5E"/>
    <w:rsid w:val="00DC4D3C"/>
    <w:rsid w:val="00DD39B6"/>
    <w:rsid w:val="00DE265B"/>
    <w:rsid w:val="00DF6A0B"/>
    <w:rsid w:val="00E0530B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94ACE"/>
    <w:rsid w:val="00E94F44"/>
    <w:rsid w:val="00E96569"/>
    <w:rsid w:val="00E97505"/>
    <w:rsid w:val="00EA3DDF"/>
    <w:rsid w:val="00EA52F3"/>
    <w:rsid w:val="00EA5B89"/>
    <w:rsid w:val="00EB00F4"/>
    <w:rsid w:val="00EB0471"/>
    <w:rsid w:val="00EC7A70"/>
    <w:rsid w:val="00ED0EC1"/>
    <w:rsid w:val="00EE08FB"/>
    <w:rsid w:val="00EE715E"/>
    <w:rsid w:val="00F242A0"/>
    <w:rsid w:val="00F24B7C"/>
    <w:rsid w:val="00F32D2C"/>
    <w:rsid w:val="00F35754"/>
    <w:rsid w:val="00F3619A"/>
    <w:rsid w:val="00F43779"/>
    <w:rsid w:val="00F56345"/>
    <w:rsid w:val="00F56A66"/>
    <w:rsid w:val="00FA2033"/>
    <w:rsid w:val="00FB1F8F"/>
    <w:rsid w:val="00FB2D8B"/>
    <w:rsid w:val="00FC6119"/>
    <w:rsid w:val="00FD1444"/>
    <w:rsid w:val="00FD2041"/>
    <w:rsid w:val="00FD2273"/>
    <w:rsid w:val="00FD4217"/>
    <w:rsid w:val="00FD460E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Times New Roman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customStyle="1" w:styleId="ConsPlusNormal">
    <w:name w:val="ConsPlusNormal"/>
    <w:uiPriority w:val="99"/>
    <w:rsid w:val="00A1239C"/>
    <w:pPr>
      <w:widowControl w:val="0"/>
      <w:suppressAutoHyphens/>
      <w:autoSpaceDE w:val="0"/>
      <w:autoSpaceDN w:val="0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styleId="NormalWeb">
    <w:name w:val="Normal (Web)"/>
    <w:basedOn w:val="Normal"/>
    <w:uiPriority w:val="99"/>
    <w:rsid w:val="00074FA3"/>
    <w:pPr>
      <w:widowControl/>
      <w:suppressAutoHyphens w:val="0"/>
      <w:spacing w:before="100" w:beforeAutospacing="1" w:after="119"/>
    </w:pPr>
    <w:rPr>
      <w:kern w:val="0"/>
    </w:rPr>
  </w:style>
  <w:style w:type="numbering" w:customStyle="1" w:styleId="WW8Num3">
    <w:name w:val="WW8Num3"/>
    <w:rsid w:val="00421CC4"/>
    <w:pPr>
      <w:numPr>
        <w:numId w:val="5"/>
      </w:numPr>
    </w:pPr>
  </w:style>
  <w:style w:type="numbering" w:customStyle="1" w:styleId="WW8Num1">
    <w:name w:val="WW8Num1"/>
    <w:rsid w:val="00421CC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2012</TotalTime>
  <Pages>24</Pages>
  <Words>2505</Words>
  <Characters>14284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40</cp:revision>
  <cp:lastPrinted>2025-04-16T04:34:00Z</cp:lastPrinted>
  <dcterms:created xsi:type="dcterms:W3CDTF">2024-11-05T03:16:00Z</dcterms:created>
  <dcterms:modified xsi:type="dcterms:W3CDTF">2025-04-30T08:27:00Z</dcterms:modified>
</cp:coreProperties>
</file>